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7FEC" w14:textId="77777777" w:rsidR="002A1C36" w:rsidRDefault="002A1C36" w:rsidP="002A1C36">
      <w:pPr>
        <w:rPr>
          <w:b/>
          <w:bCs/>
          <w:lang w:val="en-US"/>
        </w:rPr>
      </w:pPr>
      <w:r>
        <w:rPr>
          <w:b/>
          <w:bCs/>
          <w:lang w:val="en-US"/>
        </w:rPr>
        <w:t xml:space="preserve">Employment Tribunal Fee Structuring </w:t>
      </w:r>
    </w:p>
    <w:p w14:paraId="423A77CC" w14:textId="77777777" w:rsidR="002A1C36" w:rsidRDefault="002A1C36" w:rsidP="002A1C36">
      <w:pPr>
        <w:rPr>
          <w:b/>
          <w:bCs/>
          <w:lang w:val="en-US"/>
        </w:rPr>
      </w:pPr>
    </w:p>
    <w:p w14:paraId="581298A3" w14:textId="77777777" w:rsidR="002A1C36" w:rsidRDefault="002A1C36" w:rsidP="002A1C36">
      <w:pPr>
        <w:rPr>
          <w:b/>
          <w:bCs/>
          <w:lang w:val="en-US"/>
        </w:rPr>
      </w:pPr>
    </w:p>
    <w:p w14:paraId="5C7682A6" w14:textId="77777777" w:rsidR="002A1C36" w:rsidRDefault="002A1C36" w:rsidP="002A1C36">
      <w:pPr>
        <w:rPr>
          <w:b/>
          <w:bCs/>
          <w:lang w:val="en-US"/>
        </w:rPr>
      </w:pPr>
      <w:r>
        <w:rPr>
          <w:b/>
          <w:bCs/>
          <w:lang w:val="en-US"/>
        </w:rPr>
        <w:t>Introduction</w:t>
      </w:r>
    </w:p>
    <w:p w14:paraId="497F078D" w14:textId="77777777" w:rsidR="002A1C36" w:rsidRDefault="002A1C36" w:rsidP="002A1C36">
      <w:pPr>
        <w:rPr>
          <w:b/>
          <w:bCs/>
          <w:lang w:val="en-US"/>
        </w:rPr>
      </w:pPr>
    </w:p>
    <w:p w14:paraId="29517F9F" w14:textId="06A6827B" w:rsidR="002A1C36" w:rsidRDefault="002A1C36" w:rsidP="002A1C36">
      <w:pPr>
        <w:rPr>
          <w:lang w:val="en-US"/>
        </w:rPr>
      </w:pPr>
      <w:r>
        <w:rPr>
          <w:lang w:val="en-US"/>
        </w:rPr>
        <w:t>Our team of Employment Law experts regularly advise clients on a broad range of employment tribunal claims. No claim is the same and we adapt our approach and strategies to each unique case. Our client’s objectives, the strength of the claim, the volume of documentation and the complexity of the issues are all factors that are likely to affect strategy. There are also external factors, such as whether the Respondent is represented and the Tribunal’s availability to hear a case that will impact on the costs that are incurred.</w:t>
      </w:r>
    </w:p>
    <w:p w14:paraId="3699B09B" w14:textId="77777777" w:rsidR="002A1C36" w:rsidRDefault="002A1C36" w:rsidP="002A1C36">
      <w:pPr>
        <w:rPr>
          <w:lang w:val="en-US"/>
        </w:rPr>
      </w:pPr>
    </w:p>
    <w:p w14:paraId="41190CD7" w14:textId="77777777" w:rsidR="002A1C36" w:rsidRDefault="002A1C36" w:rsidP="002A1C36">
      <w:pPr>
        <w:rPr>
          <w:lang w:val="en-US"/>
        </w:rPr>
      </w:pPr>
      <w:proofErr w:type="gramStart"/>
      <w:r>
        <w:rPr>
          <w:lang w:val="en-US"/>
        </w:rPr>
        <w:t>With this in mind, our</w:t>
      </w:r>
      <w:proofErr w:type="gramEnd"/>
      <w:r>
        <w:rPr>
          <w:lang w:val="en-US"/>
        </w:rPr>
        <w:t xml:space="preserve"> fees </w:t>
      </w:r>
      <w:proofErr w:type="gramStart"/>
      <w:r>
        <w:rPr>
          <w:lang w:val="en-US"/>
        </w:rPr>
        <w:t>in</w:t>
      </w:r>
      <w:proofErr w:type="gramEnd"/>
      <w:r>
        <w:rPr>
          <w:lang w:val="en-US"/>
        </w:rPr>
        <w:t xml:space="preserve"> providing representation to our clients can also vary. The following is an illustration of what clients can realistically expect their costs to be when instructing us to represent them in claims for unfair dismissal and wrongful dismissal, subject to </w:t>
      </w:r>
      <w:proofErr w:type="gramStart"/>
      <w:r>
        <w:rPr>
          <w:lang w:val="en-US"/>
        </w:rPr>
        <w:t>a number of</w:t>
      </w:r>
      <w:proofErr w:type="gramEnd"/>
      <w:r>
        <w:rPr>
          <w:lang w:val="en-US"/>
        </w:rPr>
        <w:t xml:space="preserve"> assumptions.</w:t>
      </w:r>
    </w:p>
    <w:p w14:paraId="790E6879" w14:textId="77777777" w:rsidR="002A1C36" w:rsidRDefault="002A1C36" w:rsidP="002A1C36">
      <w:pPr>
        <w:rPr>
          <w:lang w:val="en-US"/>
        </w:rPr>
      </w:pPr>
    </w:p>
    <w:p w14:paraId="38CAD807" w14:textId="77777777" w:rsidR="002A1C36" w:rsidRDefault="002A1C36" w:rsidP="002A1C36">
      <w:pPr>
        <w:rPr>
          <w:b/>
          <w:bCs/>
          <w:lang w:val="en-US"/>
        </w:rPr>
      </w:pPr>
      <w:r>
        <w:rPr>
          <w:b/>
          <w:bCs/>
          <w:lang w:val="en-US"/>
        </w:rPr>
        <w:t>Basis of Engagement</w:t>
      </w:r>
    </w:p>
    <w:p w14:paraId="58CE57F0" w14:textId="77777777" w:rsidR="002A1C36" w:rsidRDefault="002A1C36" w:rsidP="002A1C36">
      <w:pPr>
        <w:rPr>
          <w:b/>
          <w:bCs/>
          <w:lang w:val="en-US"/>
        </w:rPr>
      </w:pPr>
    </w:p>
    <w:p w14:paraId="7F107264" w14:textId="77777777" w:rsidR="002A1C36" w:rsidRDefault="002A1C36" w:rsidP="002A1C36">
      <w:pPr>
        <w:rPr>
          <w:lang w:val="en-US"/>
        </w:rPr>
      </w:pPr>
      <w:r>
        <w:rPr>
          <w:lang w:val="en-US"/>
        </w:rPr>
        <w:t xml:space="preserve">The majority of the Employment Tribunal work we undertake is charged on a time spent basis at our standard hourly </w:t>
      </w:r>
      <w:proofErr w:type="gramStart"/>
      <w:r>
        <w:rPr>
          <w:lang w:val="en-US"/>
        </w:rPr>
        <w:t>rates:-</w:t>
      </w:r>
      <w:proofErr w:type="gramEnd"/>
    </w:p>
    <w:p w14:paraId="35016F39" w14:textId="77777777" w:rsidR="002A1C36" w:rsidRDefault="002A1C36" w:rsidP="002A1C36">
      <w:pPr>
        <w:rPr>
          <w:lang w:val="en-US"/>
        </w:rPr>
      </w:pPr>
    </w:p>
    <w:p w14:paraId="1314B227" w14:textId="1163295C" w:rsidR="002A1C36" w:rsidRDefault="002A1C36" w:rsidP="002A1C36">
      <w:pPr>
        <w:rPr>
          <w:lang w:val="en-US"/>
        </w:rPr>
      </w:pPr>
      <w:r>
        <w:rPr>
          <w:lang w:val="en-US"/>
        </w:rPr>
        <w:t xml:space="preserve">Director/Associate </w:t>
      </w:r>
      <w:proofErr w:type="gramStart"/>
      <w:r>
        <w:rPr>
          <w:lang w:val="en-US"/>
        </w:rPr>
        <w:t xml:space="preserve">Director  </w:t>
      </w:r>
      <w:r>
        <w:rPr>
          <w:lang w:val="en-US"/>
        </w:rPr>
        <w:tab/>
      </w:r>
      <w:proofErr w:type="gramEnd"/>
      <w:r>
        <w:rPr>
          <w:lang w:val="en-US"/>
        </w:rPr>
        <w:t>- £3</w:t>
      </w:r>
      <w:r w:rsidR="00C053E3">
        <w:rPr>
          <w:lang w:val="en-US"/>
        </w:rPr>
        <w:t>40</w:t>
      </w:r>
      <w:r>
        <w:rPr>
          <w:lang w:val="en-US"/>
        </w:rPr>
        <w:t xml:space="preserve"> plus VAT</w:t>
      </w:r>
    </w:p>
    <w:p w14:paraId="1C0350D8" w14:textId="3645476D" w:rsidR="002A1C36" w:rsidRDefault="002A1C36" w:rsidP="002A1C36">
      <w:pPr>
        <w:rPr>
          <w:lang w:val="en-US"/>
        </w:rPr>
      </w:pPr>
      <w:r>
        <w:rPr>
          <w:lang w:val="en-US"/>
        </w:rPr>
        <w:t>Solicitor</w:t>
      </w:r>
      <w:r w:rsidR="00C053E3">
        <w:rPr>
          <w:lang w:val="en-US"/>
        </w:rPr>
        <w:tab/>
      </w:r>
      <w:r>
        <w:rPr>
          <w:lang w:val="en-US"/>
        </w:rPr>
        <w:tab/>
      </w:r>
      <w:r>
        <w:rPr>
          <w:lang w:val="en-US"/>
        </w:rPr>
        <w:tab/>
        <w:t>- £2</w:t>
      </w:r>
      <w:r w:rsidR="00C053E3">
        <w:rPr>
          <w:lang w:val="en-US"/>
        </w:rPr>
        <w:t>30</w:t>
      </w:r>
      <w:r>
        <w:rPr>
          <w:lang w:val="en-US"/>
        </w:rPr>
        <w:t xml:space="preserve"> plus VAT</w:t>
      </w:r>
    </w:p>
    <w:p w14:paraId="4FE7A2BC" w14:textId="77777777" w:rsidR="002A1C36" w:rsidRDefault="002A1C36" w:rsidP="002A1C36">
      <w:pPr>
        <w:rPr>
          <w:lang w:val="en-US"/>
        </w:rPr>
      </w:pPr>
    </w:p>
    <w:p w14:paraId="045AE96E" w14:textId="77777777" w:rsidR="002A1C36" w:rsidRDefault="002A1C36" w:rsidP="002A1C36">
      <w:pPr>
        <w:rPr>
          <w:lang w:val="en-US"/>
        </w:rPr>
      </w:pPr>
      <w:r>
        <w:rPr>
          <w:lang w:val="en-US"/>
        </w:rPr>
        <w:t xml:space="preserve">Where possible we may agree to undertake elements of the work on a fixed fee basis, including where we have agreed a “price and slice” approach where we have agreed pricing for different tasks associated with the claim, this would typically </w:t>
      </w:r>
      <w:proofErr w:type="gramStart"/>
      <w:r>
        <w:rPr>
          <w:lang w:val="en-US"/>
        </w:rPr>
        <w:t>include:-</w:t>
      </w:r>
      <w:proofErr w:type="gramEnd"/>
    </w:p>
    <w:p w14:paraId="2EB9E05A" w14:textId="77777777" w:rsidR="002A1C36" w:rsidRDefault="002A1C36" w:rsidP="002A1C36">
      <w:pPr>
        <w:rPr>
          <w:lang w:val="en-US"/>
        </w:rPr>
      </w:pPr>
    </w:p>
    <w:p w14:paraId="2BE0A9CC" w14:textId="0086EFD2" w:rsidR="002A1C36" w:rsidRDefault="002A1C36" w:rsidP="002A1C36">
      <w:pPr>
        <w:pStyle w:val="ListParagraph"/>
        <w:numPr>
          <w:ilvl w:val="0"/>
          <w:numId w:val="2"/>
        </w:numPr>
        <w:rPr>
          <w:lang w:val="en-US"/>
        </w:rPr>
      </w:pPr>
      <w:r>
        <w:rPr>
          <w:lang w:val="en-US"/>
        </w:rPr>
        <w:t>Initial advice/ACAS conciliation</w:t>
      </w:r>
    </w:p>
    <w:p w14:paraId="64DECD6D" w14:textId="76671B2F" w:rsidR="002A1C36" w:rsidRDefault="002A1C36" w:rsidP="002A1C36">
      <w:pPr>
        <w:pStyle w:val="ListParagraph"/>
        <w:numPr>
          <w:ilvl w:val="0"/>
          <w:numId w:val="2"/>
        </w:numPr>
        <w:rPr>
          <w:lang w:val="en-US"/>
        </w:rPr>
      </w:pPr>
      <w:r>
        <w:rPr>
          <w:lang w:val="en-US"/>
        </w:rPr>
        <w:t xml:space="preserve">Drafting the ET1 claim </w:t>
      </w:r>
      <w:proofErr w:type="gramStart"/>
      <w:r>
        <w:rPr>
          <w:lang w:val="en-US"/>
        </w:rPr>
        <w:t>form</w:t>
      </w:r>
      <w:proofErr w:type="gramEnd"/>
    </w:p>
    <w:p w14:paraId="527BB207" w14:textId="77777777" w:rsidR="002A1C36" w:rsidRDefault="002A1C36" w:rsidP="002A1C36">
      <w:pPr>
        <w:pStyle w:val="ListParagraph"/>
        <w:numPr>
          <w:ilvl w:val="0"/>
          <w:numId w:val="2"/>
        </w:numPr>
        <w:rPr>
          <w:lang w:val="en-US"/>
        </w:rPr>
      </w:pPr>
      <w:r>
        <w:rPr>
          <w:lang w:val="en-US"/>
        </w:rPr>
        <w:t>Preparation for and attendance at a Preliminary Hearing</w:t>
      </w:r>
    </w:p>
    <w:p w14:paraId="6E6991CE" w14:textId="77777777" w:rsidR="002A1C36" w:rsidRDefault="002A1C36" w:rsidP="002A1C36">
      <w:pPr>
        <w:pStyle w:val="ListParagraph"/>
        <w:numPr>
          <w:ilvl w:val="0"/>
          <w:numId w:val="2"/>
        </w:numPr>
        <w:rPr>
          <w:lang w:val="en-US"/>
        </w:rPr>
      </w:pPr>
      <w:r>
        <w:rPr>
          <w:lang w:val="en-US"/>
        </w:rPr>
        <w:t>Collation of documents and disclosure</w:t>
      </w:r>
    </w:p>
    <w:p w14:paraId="630B6ED0" w14:textId="77777777" w:rsidR="002A1C36" w:rsidRDefault="002A1C36" w:rsidP="002A1C36">
      <w:pPr>
        <w:pStyle w:val="ListParagraph"/>
        <w:numPr>
          <w:ilvl w:val="0"/>
          <w:numId w:val="2"/>
        </w:numPr>
        <w:rPr>
          <w:lang w:val="en-US"/>
        </w:rPr>
      </w:pPr>
      <w:r>
        <w:rPr>
          <w:lang w:val="en-US"/>
        </w:rPr>
        <w:t>Bundle Preparation</w:t>
      </w:r>
    </w:p>
    <w:p w14:paraId="48A71FD1" w14:textId="77777777" w:rsidR="002A1C36" w:rsidRDefault="002A1C36" w:rsidP="002A1C36">
      <w:pPr>
        <w:pStyle w:val="ListParagraph"/>
        <w:numPr>
          <w:ilvl w:val="0"/>
          <w:numId w:val="2"/>
        </w:numPr>
        <w:rPr>
          <w:lang w:val="en-US"/>
        </w:rPr>
      </w:pPr>
      <w:r>
        <w:rPr>
          <w:lang w:val="en-US"/>
        </w:rPr>
        <w:t>Preparation of witness statements</w:t>
      </w:r>
    </w:p>
    <w:p w14:paraId="4E7C713D" w14:textId="77777777" w:rsidR="002A1C36" w:rsidRDefault="002A1C36" w:rsidP="002A1C36">
      <w:pPr>
        <w:pStyle w:val="ListParagraph"/>
        <w:numPr>
          <w:ilvl w:val="0"/>
          <w:numId w:val="2"/>
        </w:numPr>
        <w:rPr>
          <w:lang w:val="en-US"/>
        </w:rPr>
      </w:pPr>
      <w:r>
        <w:rPr>
          <w:lang w:val="en-US"/>
        </w:rPr>
        <w:t>Preparation for final hearing</w:t>
      </w:r>
    </w:p>
    <w:p w14:paraId="1711029C" w14:textId="77777777" w:rsidR="002A1C36" w:rsidRDefault="002A1C36" w:rsidP="002A1C36">
      <w:pPr>
        <w:rPr>
          <w:lang w:val="en-US"/>
        </w:rPr>
      </w:pPr>
    </w:p>
    <w:p w14:paraId="029DDF29" w14:textId="77777777" w:rsidR="002A1C36" w:rsidRDefault="002A1C36" w:rsidP="002A1C36">
      <w:pPr>
        <w:rPr>
          <w:lang w:val="en-US"/>
        </w:rPr>
      </w:pPr>
    </w:p>
    <w:p w14:paraId="7D86DC1E" w14:textId="77777777" w:rsidR="002A1C36" w:rsidRDefault="002A1C36" w:rsidP="002A1C36">
      <w:pPr>
        <w:rPr>
          <w:b/>
          <w:bCs/>
          <w:lang w:val="en-US"/>
        </w:rPr>
      </w:pPr>
      <w:r>
        <w:rPr>
          <w:b/>
          <w:bCs/>
          <w:lang w:val="en-US"/>
        </w:rPr>
        <w:t>Likely costs</w:t>
      </w:r>
    </w:p>
    <w:p w14:paraId="39B75BE5" w14:textId="77777777" w:rsidR="002A1C36" w:rsidRDefault="002A1C36" w:rsidP="002A1C36">
      <w:pPr>
        <w:rPr>
          <w:b/>
          <w:bCs/>
          <w:lang w:val="en-US"/>
        </w:rPr>
      </w:pPr>
    </w:p>
    <w:p w14:paraId="4A4D2773" w14:textId="29C793FA" w:rsidR="002A1C36" w:rsidRDefault="006D3EB4" w:rsidP="002A1C36">
      <w:pPr>
        <w:rPr>
          <w:lang w:val="en-US"/>
        </w:rPr>
      </w:pPr>
      <w:r>
        <w:rPr>
          <w:lang w:val="en-US"/>
        </w:rPr>
        <w:t>Subject to the assumptions listed below, o</w:t>
      </w:r>
      <w:r w:rsidR="002A1C36">
        <w:rPr>
          <w:lang w:val="en-US"/>
        </w:rPr>
        <w:t>ur costs are likely to fall within the</w:t>
      </w:r>
      <w:r>
        <w:rPr>
          <w:lang w:val="en-US"/>
        </w:rPr>
        <w:t xml:space="preserve"> following</w:t>
      </w:r>
      <w:r w:rsidR="002A1C36">
        <w:rPr>
          <w:lang w:val="en-US"/>
        </w:rPr>
        <w:t xml:space="preserve"> </w:t>
      </w:r>
      <w:proofErr w:type="gramStart"/>
      <w:r w:rsidR="002A1C36">
        <w:rPr>
          <w:lang w:val="en-US"/>
        </w:rPr>
        <w:t>ranges:-</w:t>
      </w:r>
      <w:proofErr w:type="gramEnd"/>
    </w:p>
    <w:p w14:paraId="0CEF36A8" w14:textId="77777777" w:rsidR="002A1C36" w:rsidRDefault="002A1C36" w:rsidP="002A1C36">
      <w:pPr>
        <w:rPr>
          <w:lang w:val="en-US"/>
        </w:rPr>
      </w:pPr>
    </w:p>
    <w:tbl>
      <w:tblPr>
        <w:tblStyle w:val="TableGrid"/>
        <w:tblW w:w="0" w:type="auto"/>
        <w:tblLook w:val="04A0" w:firstRow="1" w:lastRow="0" w:firstColumn="1" w:lastColumn="0" w:noHBand="0" w:noVBand="1"/>
      </w:tblPr>
      <w:tblGrid>
        <w:gridCol w:w="2767"/>
        <w:gridCol w:w="2767"/>
        <w:gridCol w:w="2768"/>
      </w:tblGrid>
      <w:tr w:rsidR="002A1C36" w14:paraId="76920CDE" w14:textId="77777777" w:rsidTr="00A049BA">
        <w:tc>
          <w:tcPr>
            <w:tcW w:w="2767" w:type="dxa"/>
          </w:tcPr>
          <w:p w14:paraId="50107045" w14:textId="77777777" w:rsidR="002A1C36" w:rsidRPr="00174F5E" w:rsidRDefault="002A1C36" w:rsidP="00A049BA">
            <w:pPr>
              <w:rPr>
                <w:b/>
                <w:bCs/>
                <w:lang w:val="en-US"/>
              </w:rPr>
            </w:pPr>
            <w:r w:rsidRPr="00174F5E">
              <w:rPr>
                <w:b/>
                <w:bCs/>
                <w:lang w:val="en-US"/>
              </w:rPr>
              <w:t>Type of Claim</w:t>
            </w:r>
          </w:p>
          <w:p w14:paraId="21AFEB79" w14:textId="77777777" w:rsidR="002A1C36" w:rsidRPr="00174F5E" w:rsidRDefault="002A1C36" w:rsidP="00A049BA">
            <w:pPr>
              <w:rPr>
                <w:b/>
                <w:bCs/>
                <w:lang w:val="en-US"/>
              </w:rPr>
            </w:pPr>
          </w:p>
        </w:tc>
        <w:tc>
          <w:tcPr>
            <w:tcW w:w="2767" w:type="dxa"/>
          </w:tcPr>
          <w:p w14:paraId="74E943B7" w14:textId="77777777" w:rsidR="002A1C36" w:rsidRPr="00174F5E" w:rsidRDefault="002A1C36" w:rsidP="00A049BA">
            <w:pPr>
              <w:rPr>
                <w:b/>
                <w:bCs/>
                <w:lang w:val="en-US"/>
              </w:rPr>
            </w:pPr>
            <w:r w:rsidRPr="00174F5E">
              <w:rPr>
                <w:b/>
                <w:bCs/>
                <w:lang w:val="en-US"/>
              </w:rPr>
              <w:t>Likely lower range fee</w:t>
            </w:r>
          </w:p>
        </w:tc>
        <w:tc>
          <w:tcPr>
            <w:tcW w:w="2768" w:type="dxa"/>
          </w:tcPr>
          <w:p w14:paraId="33D7BD9D" w14:textId="77777777" w:rsidR="002A1C36" w:rsidRPr="00174F5E" w:rsidRDefault="002A1C36" w:rsidP="00A049BA">
            <w:pPr>
              <w:rPr>
                <w:b/>
                <w:bCs/>
                <w:lang w:val="en-US"/>
              </w:rPr>
            </w:pPr>
            <w:r w:rsidRPr="00174F5E">
              <w:rPr>
                <w:b/>
                <w:bCs/>
                <w:lang w:val="en-US"/>
              </w:rPr>
              <w:t>Likely upper range fee</w:t>
            </w:r>
          </w:p>
        </w:tc>
      </w:tr>
      <w:tr w:rsidR="002A1C36" w14:paraId="0BC56286" w14:textId="77777777" w:rsidTr="00A049BA">
        <w:tc>
          <w:tcPr>
            <w:tcW w:w="2767" w:type="dxa"/>
          </w:tcPr>
          <w:p w14:paraId="5C04A2DF" w14:textId="77777777" w:rsidR="002A1C36" w:rsidRDefault="002A1C36" w:rsidP="00A049BA">
            <w:pPr>
              <w:rPr>
                <w:lang w:val="en-US"/>
              </w:rPr>
            </w:pPr>
          </w:p>
          <w:p w14:paraId="38E93987" w14:textId="77777777" w:rsidR="002A1C36" w:rsidRDefault="002A1C36" w:rsidP="00A049BA">
            <w:pPr>
              <w:rPr>
                <w:lang w:val="en-US"/>
              </w:rPr>
            </w:pPr>
            <w:r>
              <w:rPr>
                <w:lang w:val="en-US"/>
              </w:rPr>
              <w:t>Wrongful Dismissal</w:t>
            </w:r>
          </w:p>
          <w:p w14:paraId="6650B4D3" w14:textId="77777777" w:rsidR="002A1C36" w:rsidRDefault="002A1C36" w:rsidP="00A049BA">
            <w:pPr>
              <w:rPr>
                <w:lang w:val="en-US"/>
              </w:rPr>
            </w:pPr>
          </w:p>
        </w:tc>
        <w:tc>
          <w:tcPr>
            <w:tcW w:w="2767" w:type="dxa"/>
          </w:tcPr>
          <w:p w14:paraId="4135F91D" w14:textId="77777777" w:rsidR="002A1C36" w:rsidRDefault="002A1C36" w:rsidP="00A049BA">
            <w:pPr>
              <w:rPr>
                <w:lang w:val="en-US"/>
              </w:rPr>
            </w:pPr>
          </w:p>
          <w:p w14:paraId="4EA2AE0B" w14:textId="1FFFAC39" w:rsidR="002A1C36" w:rsidRDefault="002A1C36" w:rsidP="00A049BA">
            <w:pPr>
              <w:rPr>
                <w:lang w:val="en-US"/>
              </w:rPr>
            </w:pPr>
            <w:r>
              <w:rPr>
                <w:lang w:val="en-US"/>
              </w:rPr>
              <w:t>£</w:t>
            </w:r>
            <w:r w:rsidR="00A6386E">
              <w:rPr>
                <w:lang w:val="en-US"/>
              </w:rPr>
              <w:t>4</w:t>
            </w:r>
            <w:r>
              <w:rPr>
                <w:lang w:val="en-US"/>
              </w:rPr>
              <w:t>,000 plus VAT</w:t>
            </w:r>
          </w:p>
        </w:tc>
        <w:tc>
          <w:tcPr>
            <w:tcW w:w="2768" w:type="dxa"/>
          </w:tcPr>
          <w:p w14:paraId="51FBB409" w14:textId="77777777" w:rsidR="002A1C36" w:rsidRDefault="002A1C36" w:rsidP="00A049BA">
            <w:pPr>
              <w:rPr>
                <w:lang w:val="en-US"/>
              </w:rPr>
            </w:pPr>
          </w:p>
          <w:p w14:paraId="4036A785" w14:textId="50125F3A" w:rsidR="002A1C36" w:rsidRDefault="002A1C36" w:rsidP="00A049BA">
            <w:pPr>
              <w:rPr>
                <w:lang w:val="en-US"/>
              </w:rPr>
            </w:pPr>
            <w:r>
              <w:rPr>
                <w:lang w:val="en-US"/>
              </w:rPr>
              <w:t>£</w:t>
            </w:r>
            <w:r w:rsidR="00A6386E">
              <w:rPr>
                <w:lang w:val="en-US"/>
              </w:rPr>
              <w:t>7</w:t>
            </w:r>
            <w:r>
              <w:rPr>
                <w:lang w:val="en-US"/>
              </w:rPr>
              <w:t>,000 plus VAT</w:t>
            </w:r>
          </w:p>
        </w:tc>
      </w:tr>
      <w:tr w:rsidR="002A1C36" w14:paraId="3BFC5833" w14:textId="77777777" w:rsidTr="00A049BA">
        <w:tc>
          <w:tcPr>
            <w:tcW w:w="2767" w:type="dxa"/>
          </w:tcPr>
          <w:p w14:paraId="2E6173EA" w14:textId="77777777" w:rsidR="002A1C36" w:rsidRDefault="002A1C36" w:rsidP="00A049BA">
            <w:pPr>
              <w:rPr>
                <w:lang w:val="en-US"/>
              </w:rPr>
            </w:pPr>
          </w:p>
          <w:p w14:paraId="6BA8AB8D" w14:textId="77777777" w:rsidR="002A1C36" w:rsidRDefault="002A1C36" w:rsidP="00A049BA">
            <w:pPr>
              <w:rPr>
                <w:lang w:val="en-US"/>
              </w:rPr>
            </w:pPr>
            <w:r>
              <w:rPr>
                <w:lang w:val="en-US"/>
              </w:rPr>
              <w:t>Unfair Dismissal</w:t>
            </w:r>
          </w:p>
          <w:p w14:paraId="40CA2E5E" w14:textId="77777777" w:rsidR="002A1C36" w:rsidRDefault="002A1C36" w:rsidP="00A049BA">
            <w:pPr>
              <w:rPr>
                <w:lang w:val="en-US"/>
              </w:rPr>
            </w:pPr>
          </w:p>
        </w:tc>
        <w:tc>
          <w:tcPr>
            <w:tcW w:w="2767" w:type="dxa"/>
          </w:tcPr>
          <w:p w14:paraId="2761A697" w14:textId="77777777" w:rsidR="002A1C36" w:rsidRDefault="002A1C36" w:rsidP="00A049BA">
            <w:pPr>
              <w:rPr>
                <w:lang w:val="en-US"/>
              </w:rPr>
            </w:pPr>
          </w:p>
          <w:p w14:paraId="6840AB8C" w14:textId="77777777" w:rsidR="002A1C36" w:rsidRDefault="002A1C36" w:rsidP="00A049BA">
            <w:pPr>
              <w:rPr>
                <w:lang w:val="en-US"/>
              </w:rPr>
            </w:pPr>
            <w:r>
              <w:rPr>
                <w:lang w:val="en-US"/>
              </w:rPr>
              <w:t>£9,000 plus VAT</w:t>
            </w:r>
          </w:p>
        </w:tc>
        <w:tc>
          <w:tcPr>
            <w:tcW w:w="2768" w:type="dxa"/>
          </w:tcPr>
          <w:p w14:paraId="1401F8A6" w14:textId="77777777" w:rsidR="002A1C36" w:rsidRDefault="002A1C36" w:rsidP="00A049BA">
            <w:pPr>
              <w:rPr>
                <w:lang w:val="en-US"/>
              </w:rPr>
            </w:pPr>
          </w:p>
          <w:p w14:paraId="2AACA32A" w14:textId="01EC4CCD" w:rsidR="002A1C36" w:rsidRDefault="002A1C36" w:rsidP="00A049BA">
            <w:pPr>
              <w:rPr>
                <w:lang w:val="en-US"/>
              </w:rPr>
            </w:pPr>
            <w:r>
              <w:rPr>
                <w:lang w:val="en-US"/>
              </w:rPr>
              <w:t>£1</w:t>
            </w:r>
            <w:r w:rsidR="00A6386E">
              <w:rPr>
                <w:lang w:val="en-US"/>
              </w:rPr>
              <w:t>3</w:t>
            </w:r>
            <w:r>
              <w:rPr>
                <w:lang w:val="en-US"/>
              </w:rPr>
              <w:t>,000 plus VAT</w:t>
            </w:r>
          </w:p>
        </w:tc>
      </w:tr>
      <w:tr w:rsidR="002A1C36" w14:paraId="2E4AFA88" w14:textId="77777777" w:rsidTr="00A049BA">
        <w:tc>
          <w:tcPr>
            <w:tcW w:w="2767" w:type="dxa"/>
          </w:tcPr>
          <w:p w14:paraId="5AD0837A" w14:textId="77777777" w:rsidR="002A1C36" w:rsidRDefault="002A1C36" w:rsidP="00A049BA">
            <w:pPr>
              <w:rPr>
                <w:lang w:val="en-US"/>
              </w:rPr>
            </w:pPr>
          </w:p>
          <w:p w14:paraId="0C50CF31" w14:textId="77777777" w:rsidR="002A1C36" w:rsidRDefault="002A1C36" w:rsidP="00A049BA">
            <w:pPr>
              <w:rPr>
                <w:lang w:val="en-US"/>
              </w:rPr>
            </w:pPr>
            <w:r>
              <w:rPr>
                <w:lang w:val="en-US"/>
              </w:rPr>
              <w:t>Unfair and Wrongful Dismissal</w:t>
            </w:r>
          </w:p>
          <w:p w14:paraId="1329458C" w14:textId="77777777" w:rsidR="002A1C36" w:rsidRDefault="002A1C36" w:rsidP="00A049BA">
            <w:pPr>
              <w:rPr>
                <w:lang w:val="en-US"/>
              </w:rPr>
            </w:pPr>
          </w:p>
        </w:tc>
        <w:tc>
          <w:tcPr>
            <w:tcW w:w="2767" w:type="dxa"/>
          </w:tcPr>
          <w:p w14:paraId="315DCEEC" w14:textId="77777777" w:rsidR="002A1C36" w:rsidRDefault="002A1C36" w:rsidP="00A049BA">
            <w:pPr>
              <w:rPr>
                <w:lang w:val="en-US"/>
              </w:rPr>
            </w:pPr>
          </w:p>
          <w:p w14:paraId="76D7FD03" w14:textId="77777777" w:rsidR="002A1C36" w:rsidRDefault="002A1C36" w:rsidP="00A049BA">
            <w:pPr>
              <w:rPr>
                <w:lang w:val="en-US"/>
              </w:rPr>
            </w:pPr>
            <w:r>
              <w:rPr>
                <w:lang w:val="en-US"/>
              </w:rPr>
              <w:t>£10,000 plus VAT</w:t>
            </w:r>
          </w:p>
          <w:p w14:paraId="57124EA7" w14:textId="77777777" w:rsidR="002A1C36" w:rsidRDefault="002A1C36" w:rsidP="00A049BA">
            <w:pPr>
              <w:rPr>
                <w:lang w:val="en-US"/>
              </w:rPr>
            </w:pPr>
          </w:p>
        </w:tc>
        <w:tc>
          <w:tcPr>
            <w:tcW w:w="2768" w:type="dxa"/>
          </w:tcPr>
          <w:p w14:paraId="74605287" w14:textId="749E2ED9" w:rsidR="002A1C36" w:rsidRDefault="002A1C36" w:rsidP="00A049BA">
            <w:pPr>
              <w:rPr>
                <w:lang w:val="en-US"/>
              </w:rPr>
            </w:pPr>
            <w:r>
              <w:rPr>
                <w:lang w:val="en-US"/>
              </w:rPr>
              <w:br/>
              <w:t>£1</w:t>
            </w:r>
            <w:r w:rsidR="00A6386E">
              <w:rPr>
                <w:lang w:val="en-US"/>
              </w:rPr>
              <w:t>7</w:t>
            </w:r>
            <w:r>
              <w:rPr>
                <w:lang w:val="en-US"/>
              </w:rPr>
              <w:t>,000 plus VAT</w:t>
            </w:r>
          </w:p>
        </w:tc>
      </w:tr>
    </w:tbl>
    <w:p w14:paraId="0D7A060E" w14:textId="77777777" w:rsidR="002A1C36" w:rsidRDefault="002A1C36" w:rsidP="002A1C36">
      <w:pPr>
        <w:rPr>
          <w:lang w:val="en-US"/>
        </w:rPr>
      </w:pPr>
    </w:p>
    <w:p w14:paraId="1D4707FA" w14:textId="77777777" w:rsidR="002A1C36" w:rsidRDefault="002A1C36" w:rsidP="002A1C36">
      <w:pPr>
        <w:rPr>
          <w:lang w:val="en-US"/>
        </w:rPr>
      </w:pPr>
    </w:p>
    <w:p w14:paraId="4909C0D6" w14:textId="2DAC2BD3" w:rsidR="002A1C36" w:rsidRDefault="002A1C36" w:rsidP="002A1C36">
      <w:pPr>
        <w:rPr>
          <w:lang w:val="en-US"/>
        </w:rPr>
      </w:pPr>
      <w:r>
        <w:rPr>
          <w:lang w:val="en-US"/>
        </w:rPr>
        <w:t xml:space="preserve">For these purposes we would assume that a wrongful dismissal claim would require no more than one witness per party at an employment tribunal hearing that lasts no longer than a day. </w:t>
      </w:r>
    </w:p>
    <w:p w14:paraId="1637A25E" w14:textId="77777777" w:rsidR="002A1C36" w:rsidRDefault="002A1C36" w:rsidP="002A1C36">
      <w:pPr>
        <w:rPr>
          <w:lang w:val="en-US"/>
        </w:rPr>
      </w:pPr>
    </w:p>
    <w:p w14:paraId="6F5CB4B5" w14:textId="2F078391" w:rsidR="002A1C36" w:rsidRDefault="002A1C36" w:rsidP="002A1C36">
      <w:pPr>
        <w:rPr>
          <w:lang w:val="en-US"/>
        </w:rPr>
      </w:pPr>
      <w:r>
        <w:rPr>
          <w:lang w:val="en-US"/>
        </w:rPr>
        <w:t>In terms of the unfair dismissal claims, whilst the range given can be applied to both unfair and constructive unfair dismissal claims the range given would apply to claims where there are no additional claims (such as claims under the Equality Act 2010 or whistleblowing claims), that only one preliminary hearing is required and that the matter is listed for no more than three days and requires no more than four witnesses to give evidence in total.</w:t>
      </w:r>
    </w:p>
    <w:p w14:paraId="528D654F" w14:textId="77777777" w:rsidR="002A1C36" w:rsidRDefault="002A1C36" w:rsidP="002A1C36">
      <w:pPr>
        <w:rPr>
          <w:lang w:val="en-US"/>
        </w:rPr>
      </w:pPr>
    </w:p>
    <w:p w14:paraId="157474B9" w14:textId="4165E813" w:rsidR="002A1C36" w:rsidRDefault="002A1C36" w:rsidP="002A1C36">
      <w:pPr>
        <w:rPr>
          <w:lang w:val="en-US"/>
        </w:rPr>
      </w:pPr>
      <w:r>
        <w:rPr>
          <w:lang w:val="en-US"/>
        </w:rPr>
        <w:t xml:space="preserve">In all cases, the range assumes that the Respondent would be represented by an employment law specialist or that they </w:t>
      </w:r>
      <w:r w:rsidR="00CB69C5">
        <w:rPr>
          <w:lang w:val="en-US"/>
        </w:rPr>
        <w:t xml:space="preserve">would </w:t>
      </w:r>
      <w:r>
        <w:rPr>
          <w:lang w:val="en-US"/>
        </w:rPr>
        <w:t>conduct the case reasonably, that no expert medical evidence needs to be considered and that no hearing will be postponed.</w:t>
      </w:r>
    </w:p>
    <w:p w14:paraId="2FAE9BB3" w14:textId="77777777" w:rsidR="002A1C36" w:rsidRDefault="002A1C36" w:rsidP="002A1C36">
      <w:pPr>
        <w:rPr>
          <w:lang w:val="en-US"/>
        </w:rPr>
      </w:pPr>
    </w:p>
    <w:p w14:paraId="5897E83C" w14:textId="77777777" w:rsidR="002A1C36" w:rsidRDefault="002A1C36" w:rsidP="002A1C36">
      <w:pPr>
        <w:rPr>
          <w:b/>
          <w:bCs/>
          <w:lang w:val="en-US"/>
        </w:rPr>
      </w:pPr>
      <w:r>
        <w:rPr>
          <w:b/>
          <w:bCs/>
          <w:lang w:val="en-US"/>
        </w:rPr>
        <w:t>Representation at the Hearing</w:t>
      </w:r>
    </w:p>
    <w:p w14:paraId="56B52734" w14:textId="77777777" w:rsidR="002A1C36" w:rsidRDefault="002A1C36" w:rsidP="002A1C36">
      <w:pPr>
        <w:rPr>
          <w:b/>
          <w:bCs/>
          <w:lang w:val="en-US"/>
        </w:rPr>
      </w:pPr>
    </w:p>
    <w:p w14:paraId="7EADD4D2" w14:textId="77777777" w:rsidR="002A1C36" w:rsidRDefault="002A1C36" w:rsidP="002A1C36">
      <w:pPr>
        <w:rPr>
          <w:lang w:val="en-US"/>
        </w:rPr>
      </w:pPr>
      <w:r>
        <w:rPr>
          <w:lang w:val="en-US"/>
        </w:rPr>
        <w:t xml:space="preserve">The range of costs provided does not include the costs for representation at the hearing itself. Such representation is generally provided by expert Counsel. We have strong relationships with leading Barristers’ Chambers in both Kent and London with whom we work closely on contentious matters. </w:t>
      </w:r>
    </w:p>
    <w:p w14:paraId="6DCA81CF" w14:textId="77777777" w:rsidR="002A1C36" w:rsidRDefault="002A1C36" w:rsidP="002A1C36">
      <w:pPr>
        <w:rPr>
          <w:lang w:val="en-US"/>
        </w:rPr>
      </w:pPr>
    </w:p>
    <w:p w14:paraId="0CE2D66B" w14:textId="77777777" w:rsidR="002A1C36" w:rsidRDefault="002A1C36" w:rsidP="002A1C36">
      <w:pPr>
        <w:rPr>
          <w:lang w:val="en-US"/>
        </w:rPr>
      </w:pPr>
      <w:r>
        <w:rPr>
          <w:lang w:val="en-US"/>
        </w:rPr>
        <w:t xml:space="preserve">Counsel’s fees are charged as disbursements and are typically the only additional disbursements you will incur based on the assumptions listed above. We will always </w:t>
      </w:r>
      <w:proofErr w:type="gramStart"/>
      <w:r>
        <w:rPr>
          <w:lang w:val="en-US"/>
        </w:rPr>
        <w:t>agree these</w:t>
      </w:r>
      <w:proofErr w:type="gramEnd"/>
      <w:r>
        <w:rPr>
          <w:lang w:val="en-US"/>
        </w:rPr>
        <w:t xml:space="preserve"> with you in advance of instructing counsel and will ask for money on account of these fees before the hearing. </w:t>
      </w:r>
    </w:p>
    <w:p w14:paraId="75486FDB" w14:textId="77777777" w:rsidR="002A1C36" w:rsidRDefault="002A1C36" w:rsidP="002A1C36">
      <w:pPr>
        <w:rPr>
          <w:lang w:val="en-US"/>
        </w:rPr>
      </w:pPr>
    </w:p>
    <w:p w14:paraId="76F80C1B" w14:textId="13C52640" w:rsidR="002A1C36" w:rsidRDefault="002A1C36" w:rsidP="002A1C36">
      <w:pPr>
        <w:rPr>
          <w:lang w:val="en-US"/>
        </w:rPr>
      </w:pPr>
      <w:r>
        <w:rPr>
          <w:lang w:val="en-US"/>
        </w:rPr>
        <w:t>Counsel’s fees for cases of this nature will generally vary between £1,500 plus VAT and £</w:t>
      </w:r>
      <w:r w:rsidR="00A6386E">
        <w:rPr>
          <w:lang w:val="en-US"/>
        </w:rPr>
        <w:t>7</w:t>
      </w:r>
      <w:r>
        <w:rPr>
          <w:lang w:val="en-US"/>
        </w:rPr>
        <w:t>,000 plus VAT depending on length of hearing and required preparation time.</w:t>
      </w:r>
    </w:p>
    <w:p w14:paraId="24F56936" w14:textId="77777777" w:rsidR="002A1C36" w:rsidRDefault="002A1C36" w:rsidP="002A1C36">
      <w:pPr>
        <w:rPr>
          <w:lang w:val="en-US"/>
        </w:rPr>
      </w:pPr>
    </w:p>
    <w:p w14:paraId="75D20AC4" w14:textId="77777777" w:rsidR="002A1C36" w:rsidRDefault="002A1C36" w:rsidP="002A1C36">
      <w:pPr>
        <w:rPr>
          <w:b/>
          <w:bCs/>
          <w:lang w:val="en-US"/>
        </w:rPr>
      </w:pPr>
      <w:r>
        <w:rPr>
          <w:b/>
          <w:bCs/>
          <w:lang w:val="en-US"/>
        </w:rPr>
        <w:t>Timescales</w:t>
      </w:r>
    </w:p>
    <w:p w14:paraId="15F3EC5A" w14:textId="77777777" w:rsidR="002A1C36" w:rsidRDefault="002A1C36" w:rsidP="002A1C36">
      <w:pPr>
        <w:rPr>
          <w:b/>
          <w:bCs/>
          <w:lang w:val="en-US"/>
        </w:rPr>
      </w:pPr>
    </w:p>
    <w:p w14:paraId="49BF08F1" w14:textId="77777777" w:rsidR="002A1C36" w:rsidRPr="002A0DC8" w:rsidRDefault="002A1C36" w:rsidP="002A1C36">
      <w:pPr>
        <w:rPr>
          <w:lang w:val="en-US"/>
        </w:rPr>
      </w:pPr>
      <w:r>
        <w:rPr>
          <w:lang w:val="en-US"/>
        </w:rPr>
        <w:t xml:space="preserve">It is difficult to estimate how long a case will take to conclude at this time due to the significant backlogs and time pressures most Employment Tribunals are under. A </w:t>
      </w:r>
      <w:proofErr w:type="gramStart"/>
      <w:r>
        <w:rPr>
          <w:lang w:val="en-US"/>
        </w:rPr>
        <w:t>straight forward</w:t>
      </w:r>
      <w:proofErr w:type="gramEnd"/>
      <w:r>
        <w:rPr>
          <w:lang w:val="en-US"/>
        </w:rPr>
        <w:t>, one day wrongful dismissal claim may be heard within one year of the claim form being issued, but it is more likely that a longer hearing may not be heard for closer to two years after the claim form was issued.</w:t>
      </w:r>
    </w:p>
    <w:p w14:paraId="2667887E" w14:textId="6F8BC3FC" w:rsidR="00BA66A0" w:rsidRPr="002A1C36" w:rsidRDefault="00BA66A0" w:rsidP="002A1C36"/>
    <w:sectPr w:rsidR="00BA66A0" w:rsidRPr="002A1C36" w:rsidSect="00670D97">
      <w:footerReference w:type="default" r:id="rId8"/>
      <w:pgSz w:w="11906" w:h="16838" w:code="9"/>
      <w:pgMar w:top="1440" w:right="1797" w:bottom="1440" w:left="1797" w:header="720" w:footer="720" w:gutter="0"/>
      <w:paperSrc w:firs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529C" w14:textId="77777777" w:rsidR="001B3C5B" w:rsidRDefault="001B3C5B" w:rsidP="00265810">
      <w:r>
        <w:separator/>
      </w:r>
    </w:p>
  </w:endnote>
  <w:endnote w:type="continuationSeparator" w:id="0">
    <w:p w14:paraId="72986B16" w14:textId="77777777" w:rsidR="001B3C5B" w:rsidRDefault="001B3C5B" w:rsidP="002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76B6" w14:textId="77777777" w:rsidR="000D1E8A" w:rsidRDefault="000D1E8A">
    <w:pPr>
      <w:pStyle w:val="Footer"/>
    </w:pPr>
  </w:p>
  <w:p w14:paraId="6B00181B" w14:textId="77777777" w:rsidR="000D1E8A" w:rsidRDefault="000D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D4E5" w14:textId="77777777" w:rsidR="001B3C5B" w:rsidRDefault="001B3C5B" w:rsidP="00265810">
      <w:r>
        <w:separator/>
      </w:r>
    </w:p>
  </w:footnote>
  <w:footnote w:type="continuationSeparator" w:id="0">
    <w:p w14:paraId="73318EBA" w14:textId="77777777" w:rsidR="001B3C5B" w:rsidRDefault="001B3C5B" w:rsidP="0026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27C0F"/>
    <w:multiLevelType w:val="hybridMultilevel"/>
    <w:tmpl w:val="235E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E50DE0"/>
    <w:multiLevelType w:val="hybridMultilevel"/>
    <w:tmpl w:val="3F307C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48368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18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36"/>
    <w:rsid w:val="000053CB"/>
    <w:rsid w:val="0000729E"/>
    <w:rsid w:val="00014ABF"/>
    <w:rsid w:val="00014E40"/>
    <w:rsid w:val="000222E4"/>
    <w:rsid w:val="0002528B"/>
    <w:rsid w:val="00033005"/>
    <w:rsid w:val="0004509E"/>
    <w:rsid w:val="00045868"/>
    <w:rsid w:val="000477B2"/>
    <w:rsid w:val="000524D9"/>
    <w:rsid w:val="00062C7C"/>
    <w:rsid w:val="00066B86"/>
    <w:rsid w:val="0007113A"/>
    <w:rsid w:val="0007489A"/>
    <w:rsid w:val="0007519D"/>
    <w:rsid w:val="00075946"/>
    <w:rsid w:val="0008731E"/>
    <w:rsid w:val="00090347"/>
    <w:rsid w:val="00091C16"/>
    <w:rsid w:val="000A0EA4"/>
    <w:rsid w:val="000A4438"/>
    <w:rsid w:val="000A4778"/>
    <w:rsid w:val="000A58F5"/>
    <w:rsid w:val="000A5F4E"/>
    <w:rsid w:val="000A7BBD"/>
    <w:rsid w:val="000A7EEB"/>
    <w:rsid w:val="000C23B8"/>
    <w:rsid w:val="000C48D4"/>
    <w:rsid w:val="000D1E8A"/>
    <w:rsid w:val="000D6457"/>
    <w:rsid w:val="000E2C34"/>
    <w:rsid w:val="000E44EB"/>
    <w:rsid w:val="000E5273"/>
    <w:rsid w:val="000E5E2D"/>
    <w:rsid w:val="000F7778"/>
    <w:rsid w:val="00100A5C"/>
    <w:rsid w:val="00101185"/>
    <w:rsid w:val="0011760F"/>
    <w:rsid w:val="00120CB5"/>
    <w:rsid w:val="0012462A"/>
    <w:rsid w:val="00133959"/>
    <w:rsid w:val="00133DD4"/>
    <w:rsid w:val="001346A0"/>
    <w:rsid w:val="00141E5B"/>
    <w:rsid w:val="001428B4"/>
    <w:rsid w:val="00151716"/>
    <w:rsid w:val="00152DB1"/>
    <w:rsid w:val="00152FA5"/>
    <w:rsid w:val="00165AF5"/>
    <w:rsid w:val="00167BAB"/>
    <w:rsid w:val="00170C37"/>
    <w:rsid w:val="00170D5A"/>
    <w:rsid w:val="00172626"/>
    <w:rsid w:val="00172C85"/>
    <w:rsid w:val="001775F1"/>
    <w:rsid w:val="00180FE2"/>
    <w:rsid w:val="00191BD3"/>
    <w:rsid w:val="00193AE3"/>
    <w:rsid w:val="001958B2"/>
    <w:rsid w:val="00197942"/>
    <w:rsid w:val="001A2C8E"/>
    <w:rsid w:val="001A5CF4"/>
    <w:rsid w:val="001A6C01"/>
    <w:rsid w:val="001A7616"/>
    <w:rsid w:val="001B3C5B"/>
    <w:rsid w:val="001B73EC"/>
    <w:rsid w:val="001B7760"/>
    <w:rsid w:val="001C0E19"/>
    <w:rsid w:val="001C588F"/>
    <w:rsid w:val="001D4184"/>
    <w:rsid w:val="001E5596"/>
    <w:rsid w:val="00201C1F"/>
    <w:rsid w:val="00212850"/>
    <w:rsid w:val="00217A7D"/>
    <w:rsid w:val="002205F7"/>
    <w:rsid w:val="00220E80"/>
    <w:rsid w:val="0022388E"/>
    <w:rsid w:val="002306DE"/>
    <w:rsid w:val="00235219"/>
    <w:rsid w:val="002352FD"/>
    <w:rsid w:val="0025444E"/>
    <w:rsid w:val="00254966"/>
    <w:rsid w:val="0025530B"/>
    <w:rsid w:val="00256B9A"/>
    <w:rsid w:val="00256EBC"/>
    <w:rsid w:val="0025712E"/>
    <w:rsid w:val="00257DEA"/>
    <w:rsid w:val="002634C7"/>
    <w:rsid w:val="0026493F"/>
    <w:rsid w:val="00265810"/>
    <w:rsid w:val="00271F41"/>
    <w:rsid w:val="00274118"/>
    <w:rsid w:val="00275495"/>
    <w:rsid w:val="002757C2"/>
    <w:rsid w:val="00276E99"/>
    <w:rsid w:val="00277204"/>
    <w:rsid w:val="0028162E"/>
    <w:rsid w:val="002852F4"/>
    <w:rsid w:val="002878F5"/>
    <w:rsid w:val="002964FA"/>
    <w:rsid w:val="002A1C36"/>
    <w:rsid w:val="002A2076"/>
    <w:rsid w:val="002B2C79"/>
    <w:rsid w:val="002B3EAE"/>
    <w:rsid w:val="002B5515"/>
    <w:rsid w:val="002C0F1D"/>
    <w:rsid w:val="002C41A7"/>
    <w:rsid w:val="002C4DD7"/>
    <w:rsid w:val="002D067D"/>
    <w:rsid w:val="002D3289"/>
    <w:rsid w:val="002D4D0D"/>
    <w:rsid w:val="002F2435"/>
    <w:rsid w:val="002F49BF"/>
    <w:rsid w:val="002F5A01"/>
    <w:rsid w:val="0030409B"/>
    <w:rsid w:val="00305199"/>
    <w:rsid w:val="00305328"/>
    <w:rsid w:val="00307E84"/>
    <w:rsid w:val="0031357D"/>
    <w:rsid w:val="003146C0"/>
    <w:rsid w:val="0033099D"/>
    <w:rsid w:val="003313EA"/>
    <w:rsid w:val="00335CE0"/>
    <w:rsid w:val="00335E41"/>
    <w:rsid w:val="00337726"/>
    <w:rsid w:val="003421D3"/>
    <w:rsid w:val="003425DF"/>
    <w:rsid w:val="00354D72"/>
    <w:rsid w:val="00360F4B"/>
    <w:rsid w:val="00363E72"/>
    <w:rsid w:val="00370849"/>
    <w:rsid w:val="00375942"/>
    <w:rsid w:val="00381AC4"/>
    <w:rsid w:val="0038748D"/>
    <w:rsid w:val="00391BEF"/>
    <w:rsid w:val="003927E4"/>
    <w:rsid w:val="00392B59"/>
    <w:rsid w:val="00395B36"/>
    <w:rsid w:val="0039618C"/>
    <w:rsid w:val="003A00AB"/>
    <w:rsid w:val="003A2A22"/>
    <w:rsid w:val="003A36AD"/>
    <w:rsid w:val="003A6A2D"/>
    <w:rsid w:val="003B296F"/>
    <w:rsid w:val="003B3DAE"/>
    <w:rsid w:val="003D0C87"/>
    <w:rsid w:val="003E52A9"/>
    <w:rsid w:val="003F687F"/>
    <w:rsid w:val="003F7A8C"/>
    <w:rsid w:val="004027DD"/>
    <w:rsid w:val="00414C26"/>
    <w:rsid w:val="004236EE"/>
    <w:rsid w:val="00424EB7"/>
    <w:rsid w:val="004266BC"/>
    <w:rsid w:val="00430534"/>
    <w:rsid w:val="004413D1"/>
    <w:rsid w:val="004430F9"/>
    <w:rsid w:val="004449E9"/>
    <w:rsid w:val="0044639A"/>
    <w:rsid w:val="00447FB8"/>
    <w:rsid w:val="00453C37"/>
    <w:rsid w:val="00461A2E"/>
    <w:rsid w:val="00464E87"/>
    <w:rsid w:val="00465CBB"/>
    <w:rsid w:val="00466390"/>
    <w:rsid w:val="00471662"/>
    <w:rsid w:val="0047728A"/>
    <w:rsid w:val="00487B89"/>
    <w:rsid w:val="00495F5B"/>
    <w:rsid w:val="00497795"/>
    <w:rsid w:val="004A37FB"/>
    <w:rsid w:val="004A4370"/>
    <w:rsid w:val="004A7BAC"/>
    <w:rsid w:val="004B28F6"/>
    <w:rsid w:val="004B2BFF"/>
    <w:rsid w:val="004B6A50"/>
    <w:rsid w:val="004C12C1"/>
    <w:rsid w:val="004C1B98"/>
    <w:rsid w:val="004C6650"/>
    <w:rsid w:val="004D1830"/>
    <w:rsid w:val="004E0880"/>
    <w:rsid w:val="004E22B5"/>
    <w:rsid w:val="004E68A2"/>
    <w:rsid w:val="004E7401"/>
    <w:rsid w:val="004F642E"/>
    <w:rsid w:val="00504A6C"/>
    <w:rsid w:val="0050704B"/>
    <w:rsid w:val="0051019B"/>
    <w:rsid w:val="00510B20"/>
    <w:rsid w:val="00511986"/>
    <w:rsid w:val="00512EFC"/>
    <w:rsid w:val="00521E04"/>
    <w:rsid w:val="00524AC1"/>
    <w:rsid w:val="00525572"/>
    <w:rsid w:val="00527E40"/>
    <w:rsid w:val="00530C9B"/>
    <w:rsid w:val="00531935"/>
    <w:rsid w:val="00541E73"/>
    <w:rsid w:val="00544118"/>
    <w:rsid w:val="0055397B"/>
    <w:rsid w:val="00585F78"/>
    <w:rsid w:val="005906F5"/>
    <w:rsid w:val="00595713"/>
    <w:rsid w:val="00596B90"/>
    <w:rsid w:val="005A2379"/>
    <w:rsid w:val="005A7BC1"/>
    <w:rsid w:val="005D30DB"/>
    <w:rsid w:val="005E3F8B"/>
    <w:rsid w:val="00601173"/>
    <w:rsid w:val="00612579"/>
    <w:rsid w:val="0062168E"/>
    <w:rsid w:val="00622041"/>
    <w:rsid w:val="006262FB"/>
    <w:rsid w:val="00650616"/>
    <w:rsid w:val="00652C31"/>
    <w:rsid w:val="006618F3"/>
    <w:rsid w:val="00670D97"/>
    <w:rsid w:val="006848F2"/>
    <w:rsid w:val="006937EF"/>
    <w:rsid w:val="006A4D5E"/>
    <w:rsid w:val="006A784A"/>
    <w:rsid w:val="006B0186"/>
    <w:rsid w:val="006B7C22"/>
    <w:rsid w:val="006C4283"/>
    <w:rsid w:val="006D3EB4"/>
    <w:rsid w:val="007012B9"/>
    <w:rsid w:val="00706B66"/>
    <w:rsid w:val="007110A4"/>
    <w:rsid w:val="00713963"/>
    <w:rsid w:val="00714647"/>
    <w:rsid w:val="0072034E"/>
    <w:rsid w:val="00722493"/>
    <w:rsid w:val="00722AAE"/>
    <w:rsid w:val="007264C8"/>
    <w:rsid w:val="00731BDE"/>
    <w:rsid w:val="007336C6"/>
    <w:rsid w:val="00733AED"/>
    <w:rsid w:val="00735BD0"/>
    <w:rsid w:val="00753000"/>
    <w:rsid w:val="00756667"/>
    <w:rsid w:val="007609DB"/>
    <w:rsid w:val="00763281"/>
    <w:rsid w:val="00765164"/>
    <w:rsid w:val="00765346"/>
    <w:rsid w:val="00767131"/>
    <w:rsid w:val="00773ED7"/>
    <w:rsid w:val="00783518"/>
    <w:rsid w:val="00784FF3"/>
    <w:rsid w:val="00786108"/>
    <w:rsid w:val="00793A0E"/>
    <w:rsid w:val="007A2B38"/>
    <w:rsid w:val="007A52C7"/>
    <w:rsid w:val="007A698F"/>
    <w:rsid w:val="007A75CF"/>
    <w:rsid w:val="007B4258"/>
    <w:rsid w:val="007B5BB4"/>
    <w:rsid w:val="007B62FF"/>
    <w:rsid w:val="007C42E0"/>
    <w:rsid w:val="007D3B65"/>
    <w:rsid w:val="007E15DA"/>
    <w:rsid w:val="007E2B15"/>
    <w:rsid w:val="007E3C53"/>
    <w:rsid w:val="007F59C5"/>
    <w:rsid w:val="00804D22"/>
    <w:rsid w:val="00805996"/>
    <w:rsid w:val="0080605B"/>
    <w:rsid w:val="0080663F"/>
    <w:rsid w:val="00810689"/>
    <w:rsid w:val="008145A7"/>
    <w:rsid w:val="00814732"/>
    <w:rsid w:val="00820708"/>
    <w:rsid w:val="0082075D"/>
    <w:rsid w:val="00824AD9"/>
    <w:rsid w:val="00827760"/>
    <w:rsid w:val="00843ABE"/>
    <w:rsid w:val="00846F51"/>
    <w:rsid w:val="00847A9E"/>
    <w:rsid w:val="00855853"/>
    <w:rsid w:val="00866BFF"/>
    <w:rsid w:val="00876434"/>
    <w:rsid w:val="00885D39"/>
    <w:rsid w:val="00891CFC"/>
    <w:rsid w:val="00896185"/>
    <w:rsid w:val="008A121A"/>
    <w:rsid w:val="008A504C"/>
    <w:rsid w:val="008C123E"/>
    <w:rsid w:val="008C67DC"/>
    <w:rsid w:val="008D723C"/>
    <w:rsid w:val="008E0C61"/>
    <w:rsid w:val="008E1270"/>
    <w:rsid w:val="008E2565"/>
    <w:rsid w:val="008E6DBA"/>
    <w:rsid w:val="008F0D09"/>
    <w:rsid w:val="008F3E7F"/>
    <w:rsid w:val="009056F6"/>
    <w:rsid w:val="009066D4"/>
    <w:rsid w:val="00906D81"/>
    <w:rsid w:val="00920028"/>
    <w:rsid w:val="00922E3E"/>
    <w:rsid w:val="009315E0"/>
    <w:rsid w:val="009322CA"/>
    <w:rsid w:val="009330A9"/>
    <w:rsid w:val="00936271"/>
    <w:rsid w:val="00937B61"/>
    <w:rsid w:val="00941344"/>
    <w:rsid w:val="0094432E"/>
    <w:rsid w:val="009647AF"/>
    <w:rsid w:val="0096530A"/>
    <w:rsid w:val="00965830"/>
    <w:rsid w:val="00971CEB"/>
    <w:rsid w:val="009822B2"/>
    <w:rsid w:val="009834EB"/>
    <w:rsid w:val="009855F8"/>
    <w:rsid w:val="00990D96"/>
    <w:rsid w:val="009941C7"/>
    <w:rsid w:val="00996698"/>
    <w:rsid w:val="009A2470"/>
    <w:rsid w:val="009A46E7"/>
    <w:rsid w:val="009A4751"/>
    <w:rsid w:val="009A4F13"/>
    <w:rsid w:val="009A51BB"/>
    <w:rsid w:val="009A7216"/>
    <w:rsid w:val="009A764F"/>
    <w:rsid w:val="009B6F82"/>
    <w:rsid w:val="009D44C5"/>
    <w:rsid w:val="009D7D4D"/>
    <w:rsid w:val="009E476E"/>
    <w:rsid w:val="009F3DB8"/>
    <w:rsid w:val="009F537B"/>
    <w:rsid w:val="009F538B"/>
    <w:rsid w:val="00A0170F"/>
    <w:rsid w:val="00A0302E"/>
    <w:rsid w:val="00A0721A"/>
    <w:rsid w:val="00A10188"/>
    <w:rsid w:val="00A119A0"/>
    <w:rsid w:val="00A13EA9"/>
    <w:rsid w:val="00A16410"/>
    <w:rsid w:val="00A219F4"/>
    <w:rsid w:val="00A25A3D"/>
    <w:rsid w:val="00A50D03"/>
    <w:rsid w:val="00A54FFD"/>
    <w:rsid w:val="00A6386E"/>
    <w:rsid w:val="00A67627"/>
    <w:rsid w:val="00A70057"/>
    <w:rsid w:val="00A70228"/>
    <w:rsid w:val="00AA5B64"/>
    <w:rsid w:val="00AB08D0"/>
    <w:rsid w:val="00AB2001"/>
    <w:rsid w:val="00AC47B0"/>
    <w:rsid w:val="00AC7D44"/>
    <w:rsid w:val="00AD232C"/>
    <w:rsid w:val="00AD3860"/>
    <w:rsid w:val="00AD4611"/>
    <w:rsid w:val="00AE513B"/>
    <w:rsid w:val="00AF412B"/>
    <w:rsid w:val="00B03FBB"/>
    <w:rsid w:val="00B05ABA"/>
    <w:rsid w:val="00B21C26"/>
    <w:rsid w:val="00B360FD"/>
    <w:rsid w:val="00B473F9"/>
    <w:rsid w:val="00B51A19"/>
    <w:rsid w:val="00B55190"/>
    <w:rsid w:val="00B62F9A"/>
    <w:rsid w:val="00B635E0"/>
    <w:rsid w:val="00B727FD"/>
    <w:rsid w:val="00B72C59"/>
    <w:rsid w:val="00B77298"/>
    <w:rsid w:val="00B91A70"/>
    <w:rsid w:val="00BA66A0"/>
    <w:rsid w:val="00BB2BD1"/>
    <w:rsid w:val="00BB5904"/>
    <w:rsid w:val="00BB769D"/>
    <w:rsid w:val="00BC0D9C"/>
    <w:rsid w:val="00BC38F8"/>
    <w:rsid w:val="00BC76A8"/>
    <w:rsid w:val="00BD173F"/>
    <w:rsid w:val="00BE443B"/>
    <w:rsid w:val="00BE60CA"/>
    <w:rsid w:val="00BF3E4A"/>
    <w:rsid w:val="00BF4909"/>
    <w:rsid w:val="00C00875"/>
    <w:rsid w:val="00C03D61"/>
    <w:rsid w:val="00C053E3"/>
    <w:rsid w:val="00C07855"/>
    <w:rsid w:val="00C120E4"/>
    <w:rsid w:val="00C34633"/>
    <w:rsid w:val="00C3478D"/>
    <w:rsid w:val="00C379E2"/>
    <w:rsid w:val="00C46B3D"/>
    <w:rsid w:val="00C477FE"/>
    <w:rsid w:val="00C47D47"/>
    <w:rsid w:val="00C60002"/>
    <w:rsid w:val="00C63913"/>
    <w:rsid w:val="00C81EE9"/>
    <w:rsid w:val="00C9133C"/>
    <w:rsid w:val="00C94A23"/>
    <w:rsid w:val="00CA76C4"/>
    <w:rsid w:val="00CB17C6"/>
    <w:rsid w:val="00CB4AFD"/>
    <w:rsid w:val="00CB69C5"/>
    <w:rsid w:val="00CC13EC"/>
    <w:rsid w:val="00CC5C66"/>
    <w:rsid w:val="00CD1423"/>
    <w:rsid w:val="00CF41F2"/>
    <w:rsid w:val="00D00138"/>
    <w:rsid w:val="00D01098"/>
    <w:rsid w:val="00D156C4"/>
    <w:rsid w:val="00D2325F"/>
    <w:rsid w:val="00D33F37"/>
    <w:rsid w:val="00D353CA"/>
    <w:rsid w:val="00D377C3"/>
    <w:rsid w:val="00D37E21"/>
    <w:rsid w:val="00D43330"/>
    <w:rsid w:val="00D50AB2"/>
    <w:rsid w:val="00D54F96"/>
    <w:rsid w:val="00D56BF8"/>
    <w:rsid w:val="00D602F2"/>
    <w:rsid w:val="00D637F3"/>
    <w:rsid w:val="00D7093D"/>
    <w:rsid w:val="00D7552A"/>
    <w:rsid w:val="00D77B88"/>
    <w:rsid w:val="00D80828"/>
    <w:rsid w:val="00D858F1"/>
    <w:rsid w:val="00D85FA4"/>
    <w:rsid w:val="00D97AB3"/>
    <w:rsid w:val="00DB062F"/>
    <w:rsid w:val="00DB0A5A"/>
    <w:rsid w:val="00DB21D8"/>
    <w:rsid w:val="00DC6FF8"/>
    <w:rsid w:val="00DD2C93"/>
    <w:rsid w:val="00DD5F15"/>
    <w:rsid w:val="00DD6C73"/>
    <w:rsid w:val="00DD7193"/>
    <w:rsid w:val="00DE3D37"/>
    <w:rsid w:val="00DE6995"/>
    <w:rsid w:val="00DF1666"/>
    <w:rsid w:val="00DF69C0"/>
    <w:rsid w:val="00DF6CF9"/>
    <w:rsid w:val="00E05637"/>
    <w:rsid w:val="00E057C2"/>
    <w:rsid w:val="00E12A69"/>
    <w:rsid w:val="00E13A3E"/>
    <w:rsid w:val="00E17D10"/>
    <w:rsid w:val="00E26668"/>
    <w:rsid w:val="00E27703"/>
    <w:rsid w:val="00E40184"/>
    <w:rsid w:val="00E46A96"/>
    <w:rsid w:val="00E50226"/>
    <w:rsid w:val="00E628C8"/>
    <w:rsid w:val="00E70CB3"/>
    <w:rsid w:val="00E71948"/>
    <w:rsid w:val="00E919A8"/>
    <w:rsid w:val="00EA0521"/>
    <w:rsid w:val="00EA2DA6"/>
    <w:rsid w:val="00EA4D7A"/>
    <w:rsid w:val="00EA6D42"/>
    <w:rsid w:val="00EC1E62"/>
    <w:rsid w:val="00EC4CB3"/>
    <w:rsid w:val="00ED25D7"/>
    <w:rsid w:val="00EE07B8"/>
    <w:rsid w:val="00EE0F31"/>
    <w:rsid w:val="00EE1324"/>
    <w:rsid w:val="00EE258A"/>
    <w:rsid w:val="00EE3300"/>
    <w:rsid w:val="00F11930"/>
    <w:rsid w:val="00F32CF5"/>
    <w:rsid w:val="00F35629"/>
    <w:rsid w:val="00F3749E"/>
    <w:rsid w:val="00F42E34"/>
    <w:rsid w:val="00F540F6"/>
    <w:rsid w:val="00F5626F"/>
    <w:rsid w:val="00F57710"/>
    <w:rsid w:val="00F60BC9"/>
    <w:rsid w:val="00F811EC"/>
    <w:rsid w:val="00F832DC"/>
    <w:rsid w:val="00F862BC"/>
    <w:rsid w:val="00F866EB"/>
    <w:rsid w:val="00FA7516"/>
    <w:rsid w:val="00FB27BB"/>
    <w:rsid w:val="00FB2A8D"/>
    <w:rsid w:val="00FB4D9B"/>
    <w:rsid w:val="00FC0F8A"/>
    <w:rsid w:val="00FC1D8D"/>
    <w:rsid w:val="00FE4701"/>
    <w:rsid w:val="00FF2FA6"/>
    <w:rsid w:val="00FF5FCD"/>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F1C56"/>
  <w15:chartTrackingRefBased/>
  <w15:docId w15:val="{4EF277C6-8FEA-4E3E-A1C9-EB0F9FD9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C36"/>
    <w:rPr>
      <w:lang w:eastAsia="en-US"/>
    </w:rPr>
  </w:style>
  <w:style w:type="paragraph" w:styleId="Heading1">
    <w:name w:val="heading 1"/>
    <w:basedOn w:val="Normal"/>
    <w:next w:val="Normal"/>
    <w:link w:val="Heading1Char"/>
    <w:qFormat/>
    <w:pPr>
      <w:keepNext/>
      <w:outlineLvl w:val="0"/>
    </w:pPr>
    <w:rPr>
      <w:rFonts w:cs="Times New Roman"/>
      <w:b/>
      <w:i/>
      <w:szCs w:val="20"/>
      <w:lang w:eastAsia="en-GB"/>
    </w:rPr>
  </w:style>
  <w:style w:type="paragraph" w:styleId="Heading2">
    <w:name w:val="heading 2"/>
    <w:basedOn w:val="Normal"/>
    <w:next w:val="Normal"/>
    <w:qFormat/>
    <w:pPr>
      <w:keepNext/>
      <w:outlineLvl w:val="1"/>
    </w:pPr>
    <w:rPr>
      <w:rFonts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190"/>
    <w:rPr>
      <w:rFonts w:ascii="Arial" w:hAnsi="Arial"/>
      <w:b/>
      <w:i/>
      <w:sz w:val="22"/>
      <w:lang w:val="en-GB" w:eastAsia="en-US" w:bidi="ar-SA"/>
    </w:rPr>
  </w:style>
  <w:style w:type="paragraph" w:customStyle="1" w:styleId="MyStyle">
    <w:name w:val="MyStyle"/>
    <w:basedOn w:val="Normal"/>
    <w:next w:val="Normal"/>
    <w:pPr>
      <w:ind w:left="1588" w:right="1588"/>
    </w:pPr>
    <w:rPr>
      <w:lang w:eastAsia="en-GB"/>
    </w:rPr>
  </w:style>
  <w:style w:type="character" w:styleId="Hyperlink">
    <w:name w:val="Hyperlink"/>
    <w:basedOn w:val="DefaultParagraphFont"/>
    <w:uiPriority w:val="99"/>
    <w:rPr>
      <w:color w:val="0000FF"/>
      <w:u w:val="single"/>
    </w:rPr>
  </w:style>
  <w:style w:type="paragraph" w:styleId="BodyText">
    <w:name w:val="Body Text"/>
    <w:basedOn w:val="Normal"/>
    <w:link w:val="BodyTextChar"/>
    <w:pPr>
      <w:tabs>
        <w:tab w:val="left" w:pos="-720"/>
      </w:tabs>
      <w:suppressAutoHyphens/>
      <w:jc w:val="both"/>
    </w:pPr>
    <w:rPr>
      <w:rFonts w:ascii="Times New Roman" w:hAnsi="Times New Roman" w:cs="Times New Roman"/>
      <w:i/>
      <w:spacing w:val="-3"/>
      <w:sz w:val="24"/>
      <w:szCs w:val="20"/>
      <w:lang w:eastAsia="en-GB"/>
    </w:rPr>
  </w:style>
  <w:style w:type="character" w:customStyle="1" w:styleId="BodyTextChar">
    <w:name w:val="Body Text Char"/>
    <w:basedOn w:val="DefaultParagraphFont"/>
    <w:link w:val="BodyText"/>
    <w:rsid w:val="00735BD0"/>
    <w:rPr>
      <w:i/>
      <w:spacing w:val="-3"/>
      <w:sz w:val="24"/>
      <w:lang w:val="en-GB"/>
    </w:rPr>
  </w:style>
  <w:style w:type="paragraph" w:styleId="Header">
    <w:name w:val="header"/>
    <w:basedOn w:val="Normal"/>
    <w:link w:val="HeaderChar"/>
    <w:rsid w:val="006848F2"/>
    <w:pPr>
      <w:tabs>
        <w:tab w:val="center" w:pos="4153"/>
        <w:tab w:val="right" w:pos="8306"/>
      </w:tabs>
    </w:pPr>
    <w:rPr>
      <w:rFonts w:ascii="Times New Roman" w:hAnsi="Times New Roman" w:cs="Times New Roman"/>
      <w:sz w:val="24"/>
      <w:szCs w:val="20"/>
      <w:lang w:eastAsia="en-GB"/>
    </w:rPr>
  </w:style>
  <w:style w:type="paragraph" w:styleId="Footer">
    <w:name w:val="footer"/>
    <w:basedOn w:val="Normal"/>
    <w:link w:val="FooterChar"/>
    <w:uiPriority w:val="99"/>
    <w:rsid w:val="00265810"/>
    <w:pPr>
      <w:tabs>
        <w:tab w:val="center" w:pos="4513"/>
        <w:tab w:val="right" w:pos="9026"/>
      </w:tabs>
    </w:pPr>
    <w:rPr>
      <w:rFonts w:cs="Times New Roman"/>
      <w:szCs w:val="20"/>
      <w:lang w:eastAsia="en-GB"/>
    </w:rPr>
  </w:style>
  <w:style w:type="character" w:customStyle="1" w:styleId="FooterChar">
    <w:name w:val="Footer Char"/>
    <w:basedOn w:val="DefaultParagraphFont"/>
    <w:link w:val="Footer"/>
    <w:uiPriority w:val="99"/>
    <w:rsid w:val="00265810"/>
    <w:rPr>
      <w:rFonts w:ascii="Arial" w:hAnsi="Arial"/>
      <w:sz w:val="22"/>
      <w:lang w:eastAsia="en-US"/>
    </w:rPr>
  </w:style>
  <w:style w:type="paragraph" w:styleId="BalloonText">
    <w:name w:val="Balloon Text"/>
    <w:basedOn w:val="Normal"/>
    <w:link w:val="BalloonTextChar"/>
    <w:rsid w:val="001346A0"/>
    <w:rPr>
      <w:rFonts w:ascii="Tahoma" w:hAnsi="Tahoma" w:cs="Tahoma"/>
      <w:sz w:val="16"/>
      <w:szCs w:val="16"/>
      <w:lang w:eastAsia="en-GB"/>
    </w:rPr>
  </w:style>
  <w:style w:type="character" w:customStyle="1" w:styleId="BalloonTextChar">
    <w:name w:val="Balloon Text Char"/>
    <w:basedOn w:val="DefaultParagraphFont"/>
    <w:link w:val="BalloonText"/>
    <w:rsid w:val="001346A0"/>
    <w:rPr>
      <w:rFonts w:ascii="Tahoma" w:hAnsi="Tahoma" w:cs="Tahoma"/>
      <w:sz w:val="16"/>
      <w:szCs w:val="16"/>
      <w:lang w:eastAsia="en-US"/>
    </w:rPr>
  </w:style>
  <w:style w:type="character" w:styleId="FollowedHyperlink">
    <w:name w:val="FollowedHyperlink"/>
    <w:basedOn w:val="DefaultParagraphFont"/>
    <w:rsid w:val="0038748D"/>
    <w:rPr>
      <w:color w:val="800080" w:themeColor="followedHyperlink"/>
      <w:u w:val="single"/>
    </w:rPr>
  </w:style>
  <w:style w:type="character" w:customStyle="1" w:styleId="HeaderChar">
    <w:name w:val="Header Char"/>
    <w:basedOn w:val="DefaultParagraphFont"/>
    <w:link w:val="Header"/>
    <w:rsid w:val="00E17D10"/>
    <w:rPr>
      <w:rFonts w:ascii="Times New Roman" w:hAnsi="Times New Roman" w:cs="Times New Roman"/>
      <w:sz w:val="24"/>
      <w:szCs w:val="20"/>
    </w:rPr>
  </w:style>
  <w:style w:type="paragraph" w:styleId="PlainText">
    <w:name w:val="Plain Text"/>
    <w:basedOn w:val="Normal"/>
    <w:link w:val="PlainTextChar"/>
    <w:uiPriority w:val="99"/>
    <w:unhideWhenUsed/>
    <w:rsid w:val="00447FB8"/>
    <w:rPr>
      <w:rFonts w:ascii="Calibri" w:hAnsi="Calibri" w:cs="Times New Roman"/>
      <w:szCs w:val="21"/>
      <w:lang w:eastAsia="en-GB"/>
    </w:rPr>
  </w:style>
  <w:style w:type="character" w:customStyle="1" w:styleId="PlainTextChar">
    <w:name w:val="Plain Text Char"/>
    <w:basedOn w:val="DefaultParagraphFont"/>
    <w:link w:val="PlainText"/>
    <w:uiPriority w:val="99"/>
    <w:rsid w:val="00447FB8"/>
    <w:rPr>
      <w:rFonts w:ascii="Calibri" w:eastAsia="Times New Roman" w:hAnsi="Calibri" w:cs="Times New Roman"/>
      <w:szCs w:val="21"/>
    </w:rPr>
  </w:style>
  <w:style w:type="character" w:customStyle="1" w:styleId="UnresolvedMention1">
    <w:name w:val="Unresolved Mention1"/>
    <w:basedOn w:val="DefaultParagraphFont"/>
    <w:uiPriority w:val="99"/>
    <w:semiHidden/>
    <w:unhideWhenUsed/>
    <w:rsid w:val="00EE3300"/>
    <w:rPr>
      <w:color w:val="808080"/>
      <w:shd w:val="clear" w:color="auto" w:fill="E6E6E6"/>
    </w:rPr>
  </w:style>
  <w:style w:type="character" w:customStyle="1" w:styleId="UnresolvedMention2">
    <w:name w:val="Unresolved Mention2"/>
    <w:basedOn w:val="DefaultParagraphFont"/>
    <w:uiPriority w:val="99"/>
    <w:semiHidden/>
    <w:unhideWhenUsed/>
    <w:rsid w:val="00847A9E"/>
    <w:rPr>
      <w:color w:val="605E5C"/>
      <w:shd w:val="clear" w:color="auto" w:fill="E1DFDD"/>
    </w:rPr>
  </w:style>
  <w:style w:type="character" w:customStyle="1" w:styleId="UnresolvedMention3">
    <w:name w:val="Unresolved Mention3"/>
    <w:basedOn w:val="DefaultParagraphFont"/>
    <w:uiPriority w:val="99"/>
    <w:semiHidden/>
    <w:unhideWhenUsed/>
    <w:rsid w:val="0004509E"/>
    <w:rPr>
      <w:color w:val="605E5C"/>
      <w:shd w:val="clear" w:color="auto" w:fill="E1DFDD"/>
    </w:rPr>
  </w:style>
  <w:style w:type="paragraph" w:styleId="ListParagraph">
    <w:name w:val="List Paragraph"/>
    <w:basedOn w:val="Normal"/>
    <w:uiPriority w:val="34"/>
    <w:qFormat/>
    <w:rsid w:val="00C47D47"/>
    <w:pPr>
      <w:ind w:left="720"/>
    </w:pPr>
  </w:style>
  <w:style w:type="character" w:customStyle="1" w:styleId="UnresolvedMention4">
    <w:name w:val="Unresolved Mention4"/>
    <w:basedOn w:val="DefaultParagraphFont"/>
    <w:uiPriority w:val="99"/>
    <w:semiHidden/>
    <w:unhideWhenUsed/>
    <w:rsid w:val="00AE513B"/>
    <w:rPr>
      <w:color w:val="605E5C"/>
      <w:shd w:val="clear" w:color="auto" w:fill="E1DFDD"/>
    </w:rPr>
  </w:style>
  <w:style w:type="character" w:customStyle="1" w:styleId="UnresolvedMention5">
    <w:name w:val="Unresolved Mention5"/>
    <w:basedOn w:val="DefaultParagraphFont"/>
    <w:uiPriority w:val="99"/>
    <w:semiHidden/>
    <w:unhideWhenUsed/>
    <w:rsid w:val="00D77B88"/>
    <w:rPr>
      <w:color w:val="605E5C"/>
      <w:shd w:val="clear" w:color="auto" w:fill="E1DFDD"/>
    </w:rPr>
  </w:style>
  <w:style w:type="character" w:styleId="UnresolvedMention">
    <w:name w:val="Unresolved Mention"/>
    <w:basedOn w:val="DefaultParagraphFont"/>
    <w:uiPriority w:val="99"/>
    <w:semiHidden/>
    <w:unhideWhenUsed/>
    <w:rsid w:val="009A764F"/>
    <w:rPr>
      <w:color w:val="605E5C"/>
      <w:shd w:val="clear" w:color="auto" w:fill="E1DFDD"/>
    </w:rPr>
  </w:style>
  <w:style w:type="character" w:styleId="PlaceholderText">
    <w:name w:val="Placeholder Text"/>
    <w:basedOn w:val="DefaultParagraphFont"/>
    <w:uiPriority w:val="99"/>
    <w:semiHidden/>
    <w:rsid w:val="001B7760"/>
    <w:rPr>
      <w:color w:val="808080"/>
    </w:rPr>
  </w:style>
  <w:style w:type="paragraph" w:customStyle="1" w:styleId="paragraph">
    <w:name w:val="paragraph"/>
    <w:basedOn w:val="Normal"/>
    <w:rsid w:val="0060117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1173"/>
  </w:style>
  <w:style w:type="character" w:customStyle="1" w:styleId="eop">
    <w:name w:val="eop"/>
    <w:basedOn w:val="DefaultParagraphFont"/>
    <w:rsid w:val="00601173"/>
  </w:style>
  <w:style w:type="table" w:styleId="TableGrid">
    <w:name w:val="Table Grid"/>
    <w:basedOn w:val="TableNormal"/>
    <w:rsid w:val="002A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496">
      <w:bodyDiv w:val="1"/>
      <w:marLeft w:val="0"/>
      <w:marRight w:val="0"/>
      <w:marTop w:val="0"/>
      <w:marBottom w:val="0"/>
      <w:divBdr>
        <w:top w:val="none" w:sz="0" w:space="0" w:color="auto"/>
        <w:left w:val="none" w:sz="0" w:space="0" w:color="auto"/>
        <w:bottom w:val="none" w:sz="0" w:space="0" w:color="auto"/>
        <w:right w:val="none" w:sz="0" w:space="0" w:color="auto"/>
      </w:divBdr>
    </w:div>
    <w:div w:id="15231116">
      <w:bodyDiv w:val="1"/>
      <w:marLeft w:val="0"/>
      <w:marRight w:val="0"/>
      <w:marTop w:val="0"/>
      <w:marBottom w:val="0"/>
      <w:divBdr>
        <w:top w:val="none" w:sz="0" w:space="0" w:color="auto"/>
        <w:left w:val="none" w:sz="0" w:space="0" w:color="auto"/>
        <w:bottom w:val="none" w:sz="0" w:space="0" w:color="auto"/>
        <w:right w:val="none" w:sz="0" w:space="0" w:color="auto"/>
      </w:divBdr>
    </w:div>
    <w:div w:id="16735315">
      <w:bodyDiv w:val="1"/>
      <w:marLeft w:val="0"/>
      <w:marRight w:val="0"/>
      <w:marTop w:val="0"/>
      <w:marBottom w:val="0"/>
      <w:divBdr>
        <w:top w:val="none" w:sz="0" w:space="0" w:color="auto"/>
        <w:left w:val="none" w:sz="0" w:space="0" w:color="auto"/>
        <w:bottom w:val="none" w:sz="0" w:space="0" w:color="auto"/>
        <w:right w:val="none" w:sz="0" w:space="0" w:color="auto"/>
      </w:divBdr>
    </w:div>
    <w:div w:id="44499639">
      <w:bodyDiv w:val="1"/>
      <w:marLeft w:val="0"/>
      <w:marRight w:val="0"/>
      <w:marTop w:val="0"/>
      <w:marBottom w:val="0"/>
      <w:divBdr>
        <w:top w:val="none" w:sz="0" w:space="0" w:color="auto"/>
        <w:left w:val="none" w:sz="0" w:space="0" w:color="auto"/>
        <w:bottom w:val="none" w:sz="0" w:space="0" w:color="auto"/>
        <w:right w:val="none" w:sz="0" w:space="0" w:color="auto"/>
      </w:divBdr>
    </w:div>
    <w:div w:id="63189682">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189075877">
      <w:bodyDiv w:val="1"/>
      <w:marLeft w:val="0"/>
      <w:marRight w:val="0"/>
      <w:marTop w:val="0"/>
      <w:marBottom w:val="0"/>
      <w:divBdr>
        <w:top w:val="none" w:sz="0" w:space="0" w:color="auto"/>
        <w:left w:val="none" w:sz="0" w:space="0" w:color="auto"/>
        <w:bottom w:val="none" w:sz="0" w:space="0" w:color="auto"/>
        <w:right w:val="none" w:sz="0" w:space="0" w:color="auto"/>
      </w:divBdr>
    </w:div>
    <w:div w:id="268398212">
      <w:bodyDiv w:val="1"/>
      <w:marLeft w:val="0"/>
      <w:marRight w:val="0"/>
      <w:marTop w:val="0"/>
      <w:marBottom w:val="0"/>
      <w:divBdr>
        <w:top w:val="none" w:sz="0" w:space="0" w:color="auto"/>
        <w:left w:val="none" w:sz="0" w:space="0" w:color="auto"/>
        <w:bottom w:val="none" w:sz="0" w:space="0" w:color="auto"/>
        <w:right w:val="none" w:sz="0" w:space="0" w:color="auto"/>
      </w:divBdr>
    </w:div>
    <w:div w:id="270625469">
      <w:bodyDiv w:val="1"/>
      <w:marLeft w:val="0"/>
      <w:marRight w:val="0"/>
      <w:marTop w:val="0"/>
      <w:marBottom w:val="0"/>
      <w:divBdr>
        <w:top w:val="none" w:sz="0" w:space="0" w:color="auto"/>
        <w:left w:val="none" w:sz="0" w:space="0" w:color="auto"/>
        <w:bottom w:val="none" w:sz="0" w:space="0" w:color="auto"/>
        <w:right w:val="none" w:sz="0" w:space="0" w:color="auto"/>
      </w:divBdr>
    </w:div>
    <w:div w:id="275598134">
      <w:bodyDiv w:val="1"/>
      <w:marLeft w:val="0"/>
      <w:marRight w:val="0"/>
      <w:marTop w:val="0"/>
      <w:marBottom w:val="0"/>
      <w:divBdr>
        <w:top w:val="none" w:sz="0" w:space="0" w:color="auto"/>
        <w:left w:val="none" w:sz="0" w:space="0" w:color="auto"/>
        <w:bottom w:val="none" w:sz="0" w:space="0" w:color="auto"/>
        <w:right w:val="none" w:sz="0" w:space="0" w:color="auto"/>
      </w:divBdr>
    </w:div>
    <w:div w:id="299041090">
      <w:bodyDiv w:val="1"/>
      <w:marLeft w:val="0"/>
      <w:marRight w:val="0"/>
      <w:marTop w:val="0"/>
      <w:marBottom w:val="0"/>
      <w:divBdr>
        <w:top w:val="none" w:sz="0" w:space="0" w:color="auto"/>
        <w:left w:val="none" w:sz="0" w:space="0" w:color="auto"/>
        <w:bottom w:val="none" w:sz="0" w:space="0" w:color="auto"/>
        <w:right w:val="none" w:sz="0" w:space="0" w:color="auto"/>
      </w:divBdr>
    </w:div>
    <w:div w:id="303891936">
      <w:bodyDiv w:val="1"/>
      <w:marLeft w:val="0"/>
      <w:marRight w:val="0"/>
      <w:marTop w:val="0"/>
      <w:marBottom w:val="0"/>
      <w:divBdr>
        <w:top w:val="none" w:sz="0" w:space="0" w:color="auto"/>
        <w:left w:val="none" w:sz="0" w:space="0" w:color="auto"/>
        <w:bottom w:val="none" w:sz="0" w:space="0" w:color="auto"/>
        <w:right w:val="none" w:sz="0" w:space="0" w:color="auto"/>
      </w:divBdr>
    </w:div>
    <w:div w:id="314531627">
      <w:bodyDiv w:val="1"/>
      <w:marLeft w:val="0"/>
      <w:marRight w:val="0"/>
      <w:marTop w:val="0"/>
      <w:marBottom w:val="0"/>
      <w:divBdr>
        <w:top w:val="none" w:sz="0" w:space="0" w:color="auto"/>
        <w:left w:val="none" w:sz="0" w:space="0" w:color="auto"/>
        <w:bottom w:val="none" w:sz="0" w:space="0" w:color="auto"/>
        <w:right w:val="none" w:sz="0" w:space="0" w:color="auto"/>
      </w:divBdr>
    </w:div>
    <w:div w:id="498085362">
      <w:bodyDiv w:val="1"/>
      <w:marLeft w:val="0"/>
      <w:marRight w:val="0"/>
      <w:marTop w:val="0"/>
      <w:marBottom w:val="0"/>
      <w:divBdr>
        <w:top w:val="none" w:sz="0" w:space="0" w:color="auto"/>
        <w:left w:val="none" w:sz="0" w:space="0" w:color="auto"/>
        <w:bottom w:val="none" w:sz="0" w:space="0" w:color="auto"/>
        <w:right w:val="none" w:sz="0" w:space="0" w:color="auto"/>
      </w:divBdr>
    </w:div>
    <w:div w:id="509875291">
      <w:bodyDiv w:val="1"/>
      <w:marLeft w:val="0"/>
      <w:marRight w:val="0"/>
      <w:marTop w:val="0"/>
      <w:marBottom w:val="0"/>
      <w:divBdr>
        <w:top w:val="none" w:sz="0" w:space="0" w:color="auto"/>
        <w:left w:val="none" w:sz="0" w:space="0" w:color="auto"/>
        <w:bottom w:val="none" w:sz="0" w:space="0" w:color="auto"/>
        <w:right w:val="none" w:sz="0" w:space="0" w:color="auto"/>
      </w:divBdr>
    </w:div>
    <w:div w:id="598417018">
      <w:bodyDiv w:val="1"/>
      <w:marLeft w:val="0"/>
      <w:marRight w:val="0"/>
      <w:marTop w:val="0"/>
      <w:marBottom w:val="0"/>
      <w:divBdr>
        <w:top w:val="none" w:sz="0" w:space="0" w:color="auto"/>
        <w:left w:val="none" w:sz="0" w:space="0" w:color="auto"/>
        <w:bottom w:val="none" w:sz="0" w:space="0" w:color="auto"/>
        <w:right w:val="none" w:sz="0" w:space="0" w:color="auto"/>
      </w:divBdr>
    </w:div>
    <w:div w:id="639001460">
      <w:bodyDiv w:val="1"/>
      <w:marLeft w:val="0"/>
      <w:marRight w:val="0"/>
      <w:marTop w:val="0"/>
      <w:marBottom w:val="0"/>
      <w:divBdr>
        <w:top w:val="none" w:sz="0" w:space="0" w:color="auto"/>
        <w:left w:val="none" w:sz="0" w:space="0" w:color="auto"/>
        <w:bottom w:val="none" w:sz="0" w:space="0" w:color="auto"/>
        <w:right w:val="none" w:sz="0" w:space="0" w:color="auto"/>
      </w:divBdr>
    </w:div>
    <w:div w:id="656878905">
      <w:bodyDiv w:val="1"/>
      <w:marLeft w:val="0"/>
      <w:marRight w:val="0"/>
      <w:marTop w:val="0"/>
      <w:marBottom w:val="0"/>
      <w:divBdr>
        <w:top w:val="none" w:sz="0" w:space="0" w:color="auto"/>
        <w:left w:val="none" w:sz="0" w:space="0" w:color="auto"/>
        <w:bottom w:val="none" w:sz="0" w:space="0" w:color="auto"/>
        <w:right w:val="none" w:sz="0" w:space="0" w:color="auto"/>
      </w:divBdr>
    </w:div>
    <w:div w:id="658268411">
      <w:bodyDiv w:val="1"/>
      <w:marLeft w:val="0"/>
      <w:marRight w:val="0"/>
      <w:marTop w:val="0"/>
      <w:marBottom w:val="0"/>
      <w:divBdr>
        <w:top w:val="none" w:sz="0" w:space="0" w:color="auto"/>
        <w:left w:val="none" w:sz="0" w:space="0" w:color="auto"/>
        <w:bottom w:val="none" w:sz="0" w:space="0" w:color="auto"/>
        <w:right w:val="none" w:sz="0" w:space="0" w:color="auto"/>
      </w:divBdr>
    </w:div>
    <w:div w:id="662778103">
      <w:bodyDiv w:val="1"/>
      <w:marLeft w:val="0"/>
      <w:marRight w:val="0"/>
      <w:marTop w:val="0"/>
      <w:marBottom w:val="0"/>
      <w:divBdr>
        <w:top w:val="none" w:sz="0" w:space="0" w:color="auto"/>
        <w:left w:val="none" w:sz="0" w:space="0" w:color="auto"/>
        <w:bottom w:val="none" w:sz="0" w:space="0" w:color="auto"/>
        <w:right w:val="none" w:sz="0" w:space="0" w:color="auto"/>
      </w:divBdr>
    </w:div>
    <w:div w:id="675881314">
      <w:bodyDiv w:val="1"/>
      <w:marLeft w:val="0"/>
      <w:marRight w:val="0"/>
      <w:marTop w:val="0"/>
      <w:marBottom w:val="0"/>
      <w:divBdr>
        <w:top w:val="none" w:sz="0" w:space="0" w:color="auto"/>
        <w:left w:val="none" w:sz="0" w:space="0" w:color="auto"/>
        <w:bottom w:val="none" w:sz="0" w:space="0" w:color="auto"/>
        <w:right w:val="none" w:sz="0" w:space="0" w:color="auto"/>
      </w:divBdr>
    </w:div>
    <w:div w:id="677191792">
      <w:bodyDiv w:val="1"/>
      <w:marLeft w:val="0"/>
      <w:marRight w:val="0"/>
      <w:marTop w:val="0"/>
      <w:marBottom w:val="0"/>
      <w:divBdr>
        <w:top w:val="none" w:sz="0" w:space="0" w:color="auto"/>
        <w:left w:val="none" w:sz="0" w:space="0" w:color="auto"/>
        <w:bottom w:val="none" w:sz="0" w:space="0" w:color="auto"/>
        <w:right w:val="none" w:sz="0" w:space="0" w:color="auto"/>
      </w:divBdr>
    </w:div>
    <w:div w:id="685865866">
      <w:bodyDiv w:val="1"/>
      <w:marLeft w:val="0"/>
      <w:marRight w:val="0"/>
      <w:marTop w:val="0"/>
      <w:marBottom w:val="0"/>
      <w:divBdr>
        <w:top w:val="none" w:sz="0" w:space="0" w:color="auto"/>
        <w:left w:val="none" w:sz="0" w:space="0" w:color="auto"/>
        <w:bottom w:val="none" w:sz="0" w:space="0" w:color="auto"/>
        <w:right w:val="none" w:sz="0" w:space="0" w:color="auto"/>
      </w:divBdr>
    </w:div>
    <w:div w:id="724451006">
      <w:bodyDiv w:val="1"/>
      <w:marLeft w:val="0"/>
      <w:marRight w:val="0"/>
      <w:marTop w:val="0"/>
      <w:marBottom w:val="0"/>
      <w:divBdr>
        <w:top w:val="none" w:sz="0" w:space="0" w:color="auto"/>
        <w:left w:val="none" w:sz="0" w:space="0" w:color="auto"/>
        <w:bottom w:val="none" w:sz="0" w:space="0" w:color="auto"/>
        <w:right w:val="none" w:sz="0" w:space="0" w:color="auto"/>
      </w:divBdr>
    </w:div>
    <w:div w:id="761609707">
      <w:bodyDiv w:val="1"/>
      <w:marLeft w:val="0"/>
      <w:marRight w:val="0"/>
      <w:marTop w:val="0"/>
      <w:marBottom w:val="0"/>
      <w:divBdr>
        <w:top w:val="none" w:sz="0" w:space="0" w:color="auto"/>
        <w:left w:val="none" w:sz="0" w:space="0" w:color="auto"/>
        <w:bottom w:val="none" w:sz="0" w:space="0" w:color="auto"/>
        <w:right w:val="none" w:sz="0" w:space="0" w:color="auto"/>
      </w:divBdr>
    </w:div>
    <w:div w:id="762841038">
      <w:bodyDiv w:val="1"/>
      <w:marLeft w:val="0"/>
      <w:marRight w:val="0"/>
      <w:marTop w:val="0"/>
      <w:marBottom w:val="0"/>
      <w:divBdr>
        <w:top w:val="none" w:sz="0" w:space="0" w:color="auto"/>
        <w:left w:val="none" w:sz="0" w:space="0" w:color="auto"/>
        <w:bottom w:val="none" w:sz="0" w:space="0" w:color="auto"/>
        <w:right w:val="none" w:sz="0" w:space="0" w:color="auto"/>
      </w:divBdr>
    </w:div>
    <w:div w:id="776564119">
      <w:bodyDiv w:val="1"/>
      <w:marLeft w:val="0"/>
      <w:marRight w:val="0"/>
      <w:marTop w:val="0"/>
      <w:marBottom w:val="0"/>
      <w:divBdr>
        <w:top w:val="none" w:sz="0" w:space="0" w:color="auto"/>
        <w:left w:val="none" w:sz="0" w:space="0" w:color="auto"/>
        <w:bottom w:val="none" w:sz="0" w:space="0" w:color="auto"/>
        <w:right w:val="none" w:sz="0" w:space="0" w:color="auto"/>
      </w:divBdr>
    </w:div>
    <w:div w:id="808715606">
      <w:bodyDiv w:val="1"/>
      <w:marLeft w:val="0"/>
      <w:marRight w:val="0"/>
      <w:marTop w:val="0"/>
      <w:marBottom w:val="0"/>
      <w:divBdr>
        <w:top w:val="none" w:sz="0" w:space="0" w:color="auto"/>
        <w:left w:val="none" w:sz="0" w:space="0" w:color="auto"/>
        <w:bottom w:val="none" w:sz="0" w:space="0" w:color="auto"/>
        <w:right w:val="none" w:sz="0" w:space="0" w:color="auto"/>
      </w:divBdr>
    </w:div>
    <w:div w:id="898322329">
      <w:bodyDiv w:val="1"/>
      <w:marLeft w:val="0"/>
      <w:marRight w:val="0"/>
      <w:marTop w:val="0"/>
      <w:marBottom w:val="0"/>
      <w:divBdr>
        <w:top w:val="none" w:sz="0" w:space="0" w:color="auto"/>
        <w:left w:val="none" w:sz="0" w:space="0" w:color="auto"/>
        <w:bottom w:val="none" w:sz="0" w:space="0" w:color="auto"/>
        <w:right w:val="none" w:sz="0" w:space="0" w:color="auto"/>
      </w:divBdr>
    </w:div>
    <w:div w:id="979457566">
      <w:bodyDiv w:val="1"/>
      <w:marLeft w:val="0"/>
      <w:marRight w:val="0"/>
      <w:marTop w:val="0"/>
      <w:marBottom w:val="0"/>
      <w:divBdr>
        <w:top w:val="none" w:sz="0" w:space="0" w:color="auto"/>
        <w:left w:val="none" w:sz="0" w:space="0" w:color="auto"/>
        <w:bottom w:val="none" w:sz="0" w:space="0" w:color="auto"/>
        <w:right w:val="none" w:sz="0" w:space="0" w:color="auto"/>
      </w:divBdr>
    </w:div>
    <w:div w:id="984621943">
      <w:bodyDiv w:val="1"/>
      <w:marLeft w:val="0"/>
      <w:marRight w:val="0"/>
      <w:marTop w:val="0"/>
      <w:marBottom w:val="0"/>
      <w:divBdr>
        <w:top w:val="none" w:sz="0" w:space="0" w:color="auto"/>
        <w:left w:val="none" w:sz="0" w:space="0" w:color="auto"/>
        <w:bottom w:val="none" w:sz="0" w:space="0" w:color="auto"/>
        <w:right w:val="none" w:sz="0" w:space="0" w:color="auto"/>
      </w:divBdr>
    </w:div>
    <w:div w:id="995913822">
      <w:bodyDiv w:val="1"/>
      <w:marLeft w:val="0"/>
      <w:marRight w:val="0"/>
      <w:marTop w:val="0"/>
      <w:marBottom w:val="0"/>
      <w:divBdr>
        <w:top w:val="none" w:sz="0" w:space="0" w:color="auto"/>
        <w:left w:val="none" w:sz="0" w:space="0" w:color="auto"/>
        <w:bottom w:val="none" w:sz="0" w:space="0" w:color="auto"/>
        <w:right w:val="none" w:sz="0" w:space="0" w:color="auto"/>
      </w:divBdr>
    </w:div>
    <w:div w:id="1002665650">
      <w:bodyDiv w:val="1"/>
      <w:marLeft w:val="0"/>
      <w:marRight w:val="0"/>
      <w:marTop w:val="0"/>
      <w:marBottom w:val="0"/>
      <w:divBdr>
        <w:top w:val="none" w:sz="0" w:space="0" w:color="auto"/>
        <w:left w:val="none" w:sz="0" w:space="0" w:color="auto"/>
        <w:bottom w:val="none" w:sz="0" w:space="0" w:color="auto"/>
        <w:right w:val="none" w:sz="0" w:space="0" w:color="auto"/>
      </w:divBdr>
    </w:div>
    <w:div w:id="1024787460">
      <w:bodyDiv w:val="1"/>
      <w:marLeft w:val="0"/>
      <w:marRight w:val="0"/>
      <w:marTop w:val="0"/>
      <w:marBottom w:val="0"/>
      <w:divBdr>
        <w:top w:val="none" w:sz="0" w:space="0" w:color="auto"/>
        <w:left w:val="none" w:sz="0" w:space="0" w:color="auto"/>
        <w:bottom w:val="none" w:sz="0" w:space="0" w:color="auto"/>
        <w:right w:val="none" w:sz="0" w:space="0" w:color="auto"/>
      </w:divBdr>
    </w:div>
    <w:div w:id="1060834590">
      <w:bodyDiv w:val="1"/>
      <w:marLeft w:val="0"/>
      <w:marRight w:val="0"/>
      <w:marTop w:val="0"/>
      <w:marBottom w:val="0"/>
      <w:divBdr>
        <w:top w:val="none" w:sz="0" w:space="0" w:color="auto"/>
        <w:left w:val="none" w:sz="0" w:space="0" w:color="auto"/>
        <w:bottom w:val="none" w:sz="0" w:space="0" w:color="auto"/>
        <w:right w:val="none" w:sz="0" w:space="0" w:color="auto"/>
      </w:divBdr>
    </w:div>
    <w:div w:id="1077825298">
      <w:bodyDiv w:val="1"/>
      <w:marLeft w:val="0"/>
      <w:marRight w:val="0"/>
      <w:marTop w:val="0"/>
      <w:marBottom w:val="0"/>
      <w:divBdr>
        <w:top w:val="none" w:sz="0" w:space="0" w:color="auto"/>
        <w:left w:val="none" w:sz="0" w:space="0" w:color="auto"/>
        <w:bottom w:val="none" w:sz="0" w:space="0" w:color="auto"/>
        <w:right w:val="none" w:sz="0" w:space="0" w:color="auto"/>
      </w:divBdr>
    </w:div>
    <w:div w:id="1081028188">
      <w:bodyDiv w:val="1"/>
      <w:marLeft w:val="0"/>
      <w:marRight w:val="0"/>
      <w:marTop w:val="0"/>
      <w:marBottom w:val="0"/>
      <w:divBdr>
        <w:top w:val="none" w:sz="0" w:space="0" w:color="auto"/>
        <w:left w:val="none" w:sz="0" w:space="0" w:color="auto"/>
        <w:bottom w:val="none" w:sz="0" w:space="0" w:color="auto"/>
        <w:right w:val="none" w:sz="0" w:space="0" w:color="auto"/>
      </w:divBdr>
    </w:div>
    <w:div w:id="1087196227">
      <w:bodyDiv w:val="1"/>
      <w:marLeft w:val="0"/>
      <w:marRight w:val="0"/>
      <w:marTop w:val="0"/>
      <w:marBottom w:val="0"/>
      <w:divBdr>
        <w:top w:val="none" w:sz="0" w:space="0" w:color="auto"/>
        <w:left w:val="none" w:sz="0" w:space="0" w:color="auto"/>
        <w:bottom w:val="none" w:sz="0" w:space="0" w:color="auto"/>
        <w:right w:val="none" w:sz="0" w:space="0" w:color="auto"/>
      </w:divBdr>
    </w:div>
    <w:div w:id="1128402611">
      <w:bodyDiv w:val="1"/>
      <w:marLeft w:val="0"/>
      <w:marRight w:val="0"/>
      <w:marTop w:val="0"/>
      <w:marBottom w:val="0"/>
      <w:divBdr>
        <w:top w:val="none" w:sz="0" w:space="0" w:color="auto"/>
        <w:left w:val="none" w:sz="0" w:space="0" w:color="auto"/>
        <w:bottom w:val="none" w:sz="0" w:space="0" w:color="auto"/>
        <w:right w:val="none" w:sz="0" w:space="0" w:color="auto"/>
      </w:divBdr>
    </w:div>
    <w:div w:id="1274557808">
      <w:bodyDiv w:val="1"/>
      <w:marLeft w:val="0"/>
      <w:marRight w:val="0"/>
      <w:marTop w:val="0"/>
      <w:marBottom w:val="0"/>
      <w:divBdr>
        <w:top w:val="none" w:sz="0" w:space="0" w:color="auto"/>
        <w:left w:val="none" w:sz="0" w:space="0" w:color="auto"/>
        <w:bottom w:val="none" w:sz="0" w:space="0" w:color="auto"/>
        <w:right w:val="none" w:sz="0" w:space="0" w:color="auto"/>
      </w:divBdr>
    </w:div>
    <w:div w:id="1308391181">
      <w:bodyDiv w:val="1"/>
      <w:marLeft w:val="0"/>
      <w:marRight w:val="0"/>
      <w:marTop w:val="0"/>
      <w:marBottom w:val="0"/>
      <w:divBdr>
        <w:top w:val="none" w:sz="0" w:space="0" w:color="auto"/>
        <w:left w:val="none" w:sz="0" w:space="0" w:color="auto"/>
        <w:bottom w:val="none" w:sz="0" w:space="0" w:color="auto"/>
        <w:right w:val="none" w:sz="0" w:space="0" w:color="auto"/>
      </w:divBdr>
      <w:divsChild>
        <w:div w:id="238295830">
          <w:marLeft w:val="0"/>
          <w:marRight w:val="0"/>
          <w:marTop w:val="0"/>
          <w:marBottom w:val="0"/>
          <w:divBdr>
            <w:top w:val="none" w:sz="0" w:space="0" w:color="auto"/>
            <w:left w:val="none" w:sz="0" w:space="0" w:color="auto"/>
            <w:bottom w:val="none" w:sz="0" w:space="0" w:color="auto"/>
            <w:right w:val="none" w:sz="0" w:space="0" w:color="auto"/>
          </w:divBdr>
        </w:div>
        <w:div w:id="664944084">
          <w:marLeft w:val="0"/>
          <w:marRight w:val="0"/>
          <w:marTop w:val="0"/>
          <w:marBottom w:val="0"/>
          <w:divBdr>
            <w:top w:val="none" w:sz="0" w:space="0" w:color="auto"/>
            <w:left w:val="none" w:sz="0" w:space="0" w:color="auto"/>
            <w:bottom w:val="none" w:sz="0" w:space="0" w:color="auto"/>
            <w:right w:val="none" w:sz="0" w:space="0" w:color="auto"/>
          </w:divBdr>
        </w:div>
        <w:div w:id="221868130">
          <w:marLeft w:val="0"/>
          <w:marRight w:val="0"/>
          <w:marTop w:val="0"/>
          <w:marBottom w:val="0"/>
          <w:divBdr>
            <w:top w:val="none" w:sz="0" w:space="0" w:color="auto"/>
            <w:left w:val="none" w:sz="0" w:space="0" w:color="auto"/>
            <w:bottom w:val="none" w:sz="0" w:space="0" w:color="auto"/>
            <w:right w:val="none" w:sz="0" w:space="0" w:color="auto"/>
          </w:divBdr>
        </w:div>
        <w:div w:id="303392557">
          <w:marLeft w:val="0"/>
          <w:marRight w:val="0"/>
          <w:marTop w:val="0"/>
          <w:marBottom w:val="0"/>
          <w:divBdr>
            <w:top w:val="none" w:sz="0" w:space="0" w:color="auto"/>
            <w:left w:val="none" w:sz="0" w:space="0" w:color="auto"/>
            <w:bottom w:val="none" w:sz="0" w:space="0" w:color="auto"/>
            <w:right w:val="none" w:sz="0" w:space="0" w:color="auto"/>
          </w:divBdr>
        </w:div>
        <w:div w:id="1025986099">
          <w:marLeft w:val="0"/>
          <w:marRight w:val="0"/>
          <w:marTop w:val="0"/>
          <w:marBottom w:val="0"/>
          <w:divBdr>
            <w:top w:val="none" w:sz="0" w:space="0" w:color="auto"/>
            <w:left w:val="none" w:sz="0" w:space="0" w:color="auto"/>
            <w:bottom w:val="none" w:sz="0" w:space="0" w:color="auto"/>
            <w:right w:val="none" w:sz="0" w:space="0" w:color="auto"/>
          </w:divBdr>
        </w:div>
        <w:div w:id="497498537">
          <w:marLeft w:val="0"/>
          <w:marRight w:val="0"/>
          <w:marTop w:val="0"/>
          <w:marBottom w:val="0"/>
          <w:divBdr>
            <w:top w:val="none" w:sz="0" w:space="0" w:color="auto"/>
            <w:left w:val="none" w:sz="0" w:space="0" w:color="auto"/>
            <w:bottom w:val="none" w:sz="0" w:space="0" w:color="auto"/>
            <w:right w:val="none" w:sz="0" w:space="0" w:color="auto"/>
          </w:divBdr>
        </w:div>
        <w:div w:id="712651610">
          <w:marLeft w:val="0"/>
          <w:marRight w:val="0"/>
          <w:marTop w:val="0"/>
          <w:marBottom w:val="0"/>
          <w:divBdr>
            <w:top w:val="none" w:sz="0" w:space="0" w:color="auto"/>
            <w:left w:val="none" w:sz="0" w:space="0" w:color="auto"/>
            <w:bottom w:val="none" w:sz="0" w:space="0" w:color="auto"/>
            <w:right w:val="none" w:sz="0" w:space="0" w:color="auto"/>
          </w:divBdr>
        </w:div>
        <w:div w:id="398284234">
          <w:marLeft w:val="0"/>
          <w:marRight w:val="0"/>
          <w:marTop w:val="0"/>
          <w:marBottom w:val="0"/>
          <w:divBdr>
            <w:top w:val="none" w:sz="0" w:space="0" w:color="auto"/>
            <w:left w:val="none" w:sz="0" w:space="0" w:color="auto"/>
            <w:bottom w:val="none" w:sz="0" w:space="0" w:color="auto"/>
            <w:right w:val="none" w:sz="0" w:space="0" w:color="auto"/>
          </w:divBdr>
        </w:div>
        <w:div w:id="991638327">
          <w:marLeft w:val="0"/>
          <w:marRight w:val="0"/>
          <w:marTop w:val="0"/>
          <w:marBottom w:val="0"/>
          <w:divBdr>
            <w:top w:val="none" w:sz="0" w:space="0" w:color="auto"/>
            <w:left w:val="none" w:sz="0" w:space="0" w:color="auto"/>
            <w:bottom w:val="none" w:sz="0" w:space="0" w:color="auto"/>
            <w:right w:val="none" w:sz="0" w:space="0" w:color="auto"/>
          </w:divBdr>
        </w:div>
      </w:divsChild>
    </w:div>
    <w:div w:id="1324046528">
      <w:bodyDiv w:val="1"/>
      <w:marLeft w:val="0"/>
      <w:marRight w:val="0"/>
      <w:marTop w:val="0"/>
      <w:marBottom w:val="0"/>
      <w:divBdr>
        <w:top w:val="none" w:sz="0" w:space="0" w:color="auto"/>
        <w:left w:val="none" w:sz="0" w:space="0" w:color="auto"/>
        <w:bottom w:val="none" w:sz="0" w:space="0" w:color="auto"/>
        <w:right w:val="none" w:sz="0" w:space="0" w:color="auto"/>
      </w:divBdr>
    </w:div>
    <w:div w:id="1361663957">
      <w:bodyDiv w:val="1"/>
      <w:marLeft w:val="0"/>
      <w:marRight w:val="0"/>
      <w:marTop w:val="0"/>
      <w:marBottom w:val="0"/>
      <w:divBdr>
        <w:top w:val="none" w:sz="0" w:space="0" w:color="auto"/>
        <w:left w:val="none" w:sz="0" w:space="0" w:color="auto"/>
        <w:bottom w:val="none" w:sz="0" w:space="0" w:color="auto"/>
        <w:right w:val="none" w:sz="0" w:space="0" w:color="auto"/>
      </w:divBdr>
    </w:div>
    <w:div w:id="1369061996">
      <w:bodyDiv w:val="1"/>
      <w:marLeft w:val="0"/>
      <w:marRight w:val="0"/>
      <w:marTop w:val="0"/>
      <w:marBottom w:val="0"/>
      <w:divBdr>
        <w:top w:val="none" w:sz="0" w:space="0" w:color="auto"/>
        <w:left w:val="none" w:sz="0" w:space="0" w:color="auto"/>
        <w:bottom w:val="none" w:sz="0" w:space="0" w:color="auto"/>
        <w:right w:val="none" w:sz="0" w:space="0" w:color="auto"/>
      </w:divBdr>
    </w:div>
    <w:div w:id="1398286343">
      <w:bodyDiv w:val="1"/>
      <w:marLeft w:val="0"/>
      <w:marRight w:val="0"/>
      <w:marTop w:val="0"/>
      <w:marBottom w:val="0"/>
      <w:divBdr>
        <w:top w:val="none" w:sz="0" w:space="0" w:color="auto"/>
        <w:left w:val="none" w:sz="0" w:space="0" w:color="auto"/>
        <w:bottom w:val="none" w:sz="0" w:space="0" w:color="auto"/>
        <w:right w:val="none" w:sz="0" w:space="0" w:color="auto"/>
      </w:divBdr>
    </w:div>
    <w:div w:id="1411347905">
      <w:bodyDiv w:val="1"/>
      <w:marLeft w:val="0"/>
      <w:marRight w:val="0"/>
      <w:marTop w:val="0"/>
      <w:marBottom w:val="0"/>
      <w:divBdr>
        <w:top w:val="none" w:sz="0" w:space="0" w:color="auto"/>
        <w:left w:val="none" w:sz="0" w:space="0" w:color="auto"/>
        <w:bottom w:val="none" w:sz="0" w:space="0" w:color="auto"/>
        <w:right w:val="none" w:sz="0" w:space="0" w:color="auto"/>
      </w:divBdr>
    </w:div>
    <w:div w:id="1423574461">
      <w:bodyDiv w:val="1"/>
      <w:marLeft w:val="0"/>
      <w:marRight w:val="0"/>
      <w:marTop w:val="0"/>
      <w:marBottom w:val="0"/>
      <w:divBdr>
        <w:top w:val="none" w:sz="0" w:space="0" w:color="auto"/>
        <w:left w:val="none" w:sz="0" w:space="0" w:color="auto"/>
        <w:bottom w:val="none" w:sz="0" w:space="0" w:color="auto"/>
        <w:right w:val="none" w:sz="0" w:space="0" w:color="auto"/>
      </w:divBdr>
    </w:div>
    <w:div w:id="1461456500">
      <w:bodyDiv w:val="1"/>
      <w:marLeft w:val="0"/>
      <w:marRight w:val="0"/>
      <w:marTop w:val="0"/>
      <w:marBottom w:val="0"/>
      <w:divBdr>
        <w:top w:val="none" w:sz="0" w:space="0" w:color="auto"/>
        <w:left w:val="none" w:sz="0" w:space="0" w:color="auto"/>
        <w:bottom w:val="none" w:sz="0" w:space="0" w:color="auto"/>
        <w:right w:val="none" w:sz="0" w:space="0" w:color="auto"/>
      </w:divBdr>
    </w:div>
    <w:div w:id="1482431585">
      <w:bodyDiv w:val="1"/>
      <w:marLeft w:val="0"/>
      <w:marRight w:val="0"/>
      <w:marTop w:val="0"/>
      <w:marBottom w:val="0"/>
      <w:divBdr>
        <w:top w:val="none" w:sz="0" w:space="0" w:color="auto"/>
        <w:left w:val="none" w:sz="0" w:space="0" w:color="auto"/>
        <w:bottom w:val="none" w:sz="0" w:space="0" w:color="auto"/>
        <w:right w:val="none" w:sz="0" w:space="0" w:color="auto"/>
      </w:divBdr>
    </w:div>
    <w:div w:id="1534033767">
      <w:bodyDiv w:val="1"/>
      <w:marLeft w:val="0"/>
      <w:marRight w:val="0"/>
      <w:marTop w:val="0"/>
      <w:marBottom w:val="0"/>
      <w:divBdr>
        <w:top w:val="none" w:sz="0" w:space="0" w:color="auto"/>
        <w:left w:val="none" w:sz="0" w:space="0" w:color="auto"/>
        <w:bottom w:val="none" w:sz="0" w:space="0" w:color="auto"/>
        <w:right w:val="none" w:sz="0" w:space="0" w:color="auto"/>
      </w:divBdr>
    </w:div>
    <w:div w:id="1541211448">
      <w:bodyDiv w:val="1"/>
      <w:marLeft w:val="0"/>
      <w:marRight w:val="0"/>
      <w:marTop w:val="0"/>
      <w:marBottom w:val="0"/>
      <w:divBdr>
        <w:top w:val="none" w:sz="0" w:space="0" w:color="auto"/>
        <w:left w:val="none" w:sz="0" w:space="0" w:color="auto"/>
        <w:bottom w:val="none" w:sz="0" w:space="0" w:color="auto"/>
        <w:right w:val="none" w:sz="0" w:space="0" w:color="auto"/>
      </w:divBdr>
    </w:div>
    <w:div w:id="1545214200">
      <w:bodyDiv w:val="1"/>
      <w:marLeft w:val="0"/>
      <w:marRight w:val="0"/>
      <w:marTop w:val="0"/>
      <w:marBottom w:val="0"/>
      <w:divBdr>
        <w:top w:val="none" w:sz="0" w:space="0" w:color="auto"/>
        <w:left w:val="none" w:sz="0" w:space="0" w:color="auto"/>
        <w:bottom w:val="none" w:sz="0" w:space="0" w:color="auto"/>
        <w:right w:val="none" w:sz="0" w:space="0" w:color="auto"/>
      </w:divBdr>
    </w:div>
    <w:div w:id="1683704801">
      <w:bodyDiv w:val="1"/>
      <w:marLeft w:val="0"/>
      <w:marRight w:val="0"/>
      <w:marTop w:val="0"/>
      <w:marBottom w:val="0"/>
      <w:divBdr>
        <w:top w:val="none" w:sz="0" w:space="0" w:color="auto"/>
        <w:left w:val="none" w:sz="0" w:space="0" w:color="auto"/>
        <w:bottom w:val="none" w:sz="0" w:space="0" w:color="auto"/>
        <w:right w:val="none" w:sz="0" w:space="0" w:color="auto"/>
      </w:divBdr>
    </w:div>
    <w:div w:id="1715809001">
      <w:bodyDiv w:val="1"/>
      <w:marLeft w:val="0"/>
      <w:marRight w:val="0"/>
      <w:marTop w:val="0"/>
      <w:marBottom w:val="0"/>
      <w:divBdr>
        <w:top w:val="none" w:sz="0" w:space="0" w:color="auto"/>
        <w:left w:val="none" w:sz="0" w:space="0" w:color="auto"/>
        <w:bottom w:val="none" w:sz="0" w:space="0" w:color="auto"/>
        <w:right w:val="none" w:sz="0" w:space="0" w:color="auto"/>
      </w:divBdr>
    </w:div>
    <w:div w:id="1729307566">
      <w:bodyDiv w:val="1"/>
      <w:marLeft w:val="0"/>
      <w:marRight w:val="0"/>
      <w:marTop w:val="0"/>
      <w:marBottom w:val="0"/>
      <w:divBdr>
        <w:top w:val="none" w:sz="0" w:space="0" w:color="auto"/>
        <w:left w:val="none" w:sz="0" w:space="0" w:color="auto"/>
        <w:bottom w:val="none" w:sz="0" w:space="0" w:color="auto"/>
        <w:right w:val="none" w:sz="0" w:space="0" w:color="auto"/>
      </w:divBdr>
    </w:div>
    <w:div w:id="1733308956">
      <w:bodyDiv w:val="1"/>
      <w:marLeft w:val="0"/>
      <w:marRight w:val="0"/>
      <w:marTop w:val="0"/>
      <w:marBottom w:val="0"/>
      <w:divBdr>
        <w:top w:val="none" w:sz="0" w:space="0" w:color="auto"/>
        <w:left w:val="none" w:sz="0" w:space="0" w:color="auto"/>
        <w:bottom w:val="none" w:sz="0" w:space="0" w:color="auto"/>
        <w:right w:val="none" w:sz="0" w:space="0" w:color="auto"/>
      </w:divBdr>
      <w:divsChild>
        <w:div w:id="805046429">
          <w:marLeft w:val="0"/>
          <w:marRight w:val="0"/>
          <w:marTop w:val="0"/>
          <w:marBottom w:val="0"/>
          <w:divBdr>
            <w:top w:val="none" w:sz="0" w:space="0" w:color="auto"/>
            <w:left w:val="none" w:sz="0" w:space="0" w:color="auto"/>
            <w:bottom w:val="none" w:sz="0" w:space="0" w:color="auto"/>
            <w:right w:val="none" w:sz="0" w:space="0" w:color="auto"/>
          </w:divBdr>
        </w:div>
        <w:div w:id="1951205492">
          <w:marLeft w:val="0"/>
          <w:marRight w:val="0"/>
          <w:marTop w:val="0"/>
          <w:marBottom w:val="0"/>
          <w:divBdr>
            <w:top w:val="none" w:sz="0" w:space="0" w:color="auto"/>
            <w:left w:val="none" w:sz="0" w:space="0" w:color="auto"/>
            <w:bottom w:val="none" w:sz="0" w:space="0" w:color="auto"/>
            <w:right w:val="none" w:sz="0" w:space="0" w:color="auto"/>
          </w:divBdr>
        </w:div>
        <w:div w:id="1301886191">
          <w:marLeft w:val="0"/>
          <w:marRight w:val="0"/>
          <w:marTop w:val="0"/>
          <w:marBottom w:val="0"/>
          <w:divBdr>
            <w:top w:val="none" w:sz="0" w:space="0" w:color="auto"/>
            <w:left w:val="none" w:sz="0" w:space="0" w:color="auto"/>
            <w:bottom w:val="none" w:sz="0" w:space="0" w:color="auto"/>
            <w:right w:val="none" w:sz="0" w:space="0" w:color="auto"/>
          </w:divBdr>
        </w:div>
        <w:div w:id="1221945907">
          <w:marLeft w:val="0"/>
          <w:marRight w:val="0"/>
          <w:marTop w:val="0"/>
          <w:marBottom w:val="0"/>
          <w:divBdr>
            <w:top w:val="none" w:sz="0" w:space="0" w:color="auto"/>
            <w:left w:val="none" w:sz="0" w:space="0" w:color="auto"/>
            <w:bottom w:val="none" w:sz="0" w:space="0" w:color="auto"/>
            <w:right w:val="none" w:sz="0" w:space="0" w:color="auto"/>
          </w:divBdr>
        </w:div>
        <w:div w:id="1192451357">
          <w:marLeft w:val="0"/>
          <w:marRight w:val="0"/>
          <w:marTop w:val="0"/>
          <w:marBottom w:val="0"/>
          <w:divBdr>
            <w:top w:val="none" w:sz="0" w:space="0" w:color="auto"/>
            <w:left w:val="none" w:sz="0" w:space="0" w:color="auto"/>
            <w:bottom w:val="none" w:sz="0" w:space="0" w:color="auto"/>
            <w:right w:val="none" w:sz="0" w:space="0" w:color="auto"/>
          </w:divBdr>
        </w:div>
        <w:div w:id="875198618">
          <w:marLeft w:val="0"/>
          <w:marRight w:val="0"/>
          <w:marTop w:val="0"/>
          <w:marBottom w:val="0"/>
          <w:divBdr>
            <w:top w:val="none" w:sz="0" w:space="0" w:color="auto"/>
            <w:left w:val="none" w:sz="0" w:space="0" w:color="auto"/>
            <w:bottom w:val="none" w:sz="0" w:space="0" w:color="auto"/>
            <w:right w:val="none" w:sz="0" w:space="0" w:color="auto"/>
          </w:divBdr>
        </w:div>
        <w:div w:id="1529564650">
          <w:marLeft w:val="0"/>
          <w:marRight w:val="0"/>
          <w:marTop w:val="0"/>
          <w:marBottom w:val="0"/>
          <w:divBdr>
            <w:top w:val="none" w:sz="0" w:space="0" w:color="auto"/>
            <w:left w:val="none" w:sz="0" w:space="0" w:color="auto"/>
            <w:bottom w:val="none" w:sz="0" w:space="0" w:color="auto"/>
            <w:right w:val="none" w:sz="0" w:space="0" w:color="auto"/>
          </w:divBdr>
        </w:div>
        <w:div w:id="501287222">
          <w:marLeft w:val="0"/>
          <w:marRight w:val="0"/>
          <w:marTop w:val="0"/>
          <w:marBottom w:val="0"/>
          <w:divBdr>
            <w:top w:val="none" w:sz="0" w:space="0" w:color="auto"/>
            <w:left w:val="none" w:sz="0" w:space="0" w:color="auto"/>
            <w:bottom w:val="none" w:sz="0" w:space="0" w:color="auto"/>
            <w:right w:val="none" w:sz="0" w:space="0" w:color="auto"/>
          </w:divBdr>
        </w:div>
      </w:divsChild>
    </w:div>
    <w:div w:id="1751734650">
      <w:bodyDiv w:val="1"/>
      <w:marLeft w:val="0"/>
      <w:marRight w:val="0"/>
      <w:marTop w:val="0"/>
      <w:marBottom w:val="0"/>
      <w:divBdr>
        <w:top w:val="none" w:sz="0" w:space="0" w:color="auto"/>
        <w:left w:val="none" w:sz="0" w:space="0" w:color="auto"/>
        <w:bottom w:val="none" w:sz="0" w:space="0" w:color="auto"/>
        <w:right w:val="none" w:sz="0" w:space="0" w:color="auto"/>
      </w:divBdr>
    </w:div>
    <w:div w:id="1773821280">
      <w:bodyDiv w:val="1"/>
      <w:marLeft w:val="0"/>
      <w:marRight w:val="0"/>
      <w:marTop w:val="0"/>
      <w:marBottom w:val="0"/>
      <w:divBdr>
        <w:top w:val="none" w:sz="0" w:space="0" w:color="auto"/>
        <w:left w:val="none" w:sz="0" w:space="0" w:color="auto"/>
        <w:bottom w:val="none" w:sz="0" w:space="0" w:color="auto"/>
        <w:right w:val="none" w:sz="0" w:space="0" w:color="auto"/>
      </w:divBdr>
    </w:div>
    <w:div w:id="1799759254">
      <w:bodyDiv w:val="1"/>
      <w:marLeft w:val="0"/>
      <w:marRight w:val="0"/>
      <w:marTop w:val="0"/>
      <w:marBottom w:val="0"/>
      <w:divBdr>
        <w:top w:val="none" w:sz="0" w:space="0" w:color="auto"/>
        <w:left w:val="none" w:sz="0" w:space="0" w:color="auto"/>
        <w:bottom w:val="none" w:sz="0" w:space="0" w:color="auto"/>
        <w:right w:val="none" w:sz="0" w:space="0" w:color="auto"/>
      </w:divBdr>
      <w:divsChild>
        <w:div w:id="23991995">
          <w:marLeft w:val="0"/>
          <w:marRight w:val="0"/>
          <w:marTop w:val="0"/>
          <w:marBottom w:val="0"/>
          <w:divBdr>
            <w:top w:val="none" w:sz="0" w:space="0" w:color="auto"/>
            <w:left w:val="none" w:sz="0" w:space="0" w:color="auto"/>
            <w:bottom w:val="none" w:sz="0" w:space="0" w:color="auto"/>
            <w:right w:val="none" w:sz="0" w:space="0" w:color="auto"/>
          </w:divBdr>
        </w:div>
        <w:div w:id="537087141">
          <w:marLeft w:val="0"/>
          <w:marRight w:val="0"/>
          <w:marTop w:val="0"/>
          <w:marBottom w:val="0"/>
          <w:divBdr>
            <w:top w:val="none" w:sz="0" w:space="0" w:color="auto"/>
            <w:left w:val="none" w:sz="0" w:space="0" w:color="auto"/>
            <w:bottom w:val="none" w:sz="0" w:space="0" w:color="auto"/>
            <w:right w:val="none" w:sz="0" w:space="0" w:color="auto"/>
          </w:divBdr>
        </w:div>
        <w:div w:id="2119985618">
          <w:marLeft w:val="0"/>
          <w:marRight w:val="0"/>
          <w:marTop w:val="0"/>
          <w:marBottom w:val="0"/>
          <w:divBdr>
            <w:top w:val="none" w:sz="0" w:space="0" w:color="auto"/>
            <w:left w:val="none" w:sz="0" w:space="0" w:color="auto"/>
            <w:bottom w:val="none" w:sz="0" w:space="0" w:color="auto"/>
            <w:right w:val="none" w:sz="0" w:space="0" w:color="auto"/>
          </w:divBdr>
        </w:div>
        <w:div w:id="1086422176">
          <w:marLeft w:val="0"/>
          <w:marRight w:val="0"/>
          <w:marTop w:val="0"/>
          <w:marBottom w:val="0"/>
          <w:divBdr>
            <w:top w:val="none" w:sz="0" w:space="0" w:color="auto"/>
            <w:left w:val="none" w:sz="0" w:space="0" w:color="auto"/>
            <w:bottom w:val="none" w:sz="0" w:space="0" w:color="auto"/>
            <w:right w:val="none" w:sz="0" w:space="0" w:color="auto"/>
          </w:divBdr>
        </w:div>
        <w:div w:id="1144545540">
          <w:marLeft w:val="0"/>
          <w:marRight w:val="0"/>
          <w:marTop w:val="0"/>
          <w:marBottom w:val="0"/>
          <w:divBdr>
            <w:top w:val="none" w:sz="0" w:space="0" w:color="auto"/>
            <w:left w:val="none" w:sz="0" w:space="0" w:color="auto"/>
            <w:bottom w:val="none" w:sz="0" w:space="0" w:color="auto"/>
            <w:right w:val="none" w:sz="0" w:space="0" w:color="auto"/>
          </w:divBdr>
        </w:div>
        <w:div w:id="1844128192">
          <w:marLeft w:val="0"/>
          <w:marRight w:val="0"/>
          <w:marTop w:val="0"/>
          <w:marBottom w:val="0"/>
          <w:divBdr>
            <w:top w:val="none" w:sz="0" w:space="0" w:color="auto"/>
            <w:left w:val="none" w:sz="0" w:space="0" w:color="auto"/>
            <w:bottom w:val="none" w:sz="0" w:space="0" w:color="auto"/>
            <w:right w:val="none" w:sz="0" w:space="0" w:color="auto"/>
          </w:divBdr>
        </w:div>
        <w:div w:id="944114915">
          <w:marLeft w:val="0"/>
          <w:marRight w:val="0"/>
          <w:marTop w:val="0"/>
          <w:marBottom w:val="0"/>
          <w:divBdr>
            <w:top w:val="none" w:sz="0" w:space="0" w:color="auto"/>
            <w:left w:val="none" w:sz="0" w:space="0" w:color="auto"/>
            <w:bottom w:val="none" w:sz="0" w:space="0" w:color="auto"/>
            <w:right w:val="none" w:sz="0" w:space="0" w:color="auto"/>
          </w:divBdr>
        </w:div>
        <w:div w:id="1722485717">
          <w:marLeft w:val="0"/>
          <w:marRight w:val="0"/>
          <w:marTop w:val="0"/>
          <w:marBottom w:val="0"/>
          <w:divBdr>
            <w:top w:val="none" w:sz="0" w:space="0" w:color="auto"/>
            <w:left w:val="none" w:sz="0" w:space="0" w:color="auto"/>
            <w:bottom w:val="none" w:sz="0" w:space="0" w:color="auto"/>
            <w:right w:val="none" w:sz="0" w:space="0" w:color="auto"/>
          </w:divBdr>
        </w:div>
        <w:div w:id="91559470">
          <w:marLeft w:val="0"/>
          <w:marRight w:val="0"/>
          <w:marTop w:val="0"/>
          <w:marBottom w:val="0"/>
          <w:divBdr>
            <w:top w:val="none" w:sz="0" w:space="0" w:color="auto"/>
            <w:left w:val="none" w:sz="0" w:space="0" w:color="auto"/>
            <w:bottom w:val="none" w:sz="0" w:space="0" w:color="auto"/>
            <w:right w:val="none" w:sz="0" w:space="0" w:color="auto"/>
          </w:divBdr>
        </w:div>
      </w:divsChild>
    </w:div>
    <w:div w:id="1942912630">
      <w:bodyDiv w:val="1"/>
      <w:marLeft w:val="0"/>
      <w:marRight w:val="0"/>
      <w:marTop w:val="0"/>
      <w:marBottom w:val="0"/>
      <w:divBdr>
        <w:top w:val="none" w:sz="0" w:space="0" w:color="auto"/>
        <w:left w:val="none" w:sz="0" w:space="0" w:color="auto"/>
        <w:bottom w:val="none" w:sz="0" w:space="0" w:color="auto"/>
        <w:right w:val="none" w:sz="0" w:space="0" w:color="auto"/>
      </w:divBdr>
    </w:div>
    <w:div w:id="1976257279">
      <w:bodyDiv w:val="1"/>
      <w:marLeft w:val="0"/>
      <w:marRight w:val="0"/>
      <w:marTop w:val="0"/>
      <w:marBottom w:val="0"/>
      <w:divBdr>
        <w:top w:val="none" w:sz="0" w:space="0" w:color="auto"/>
        <w:left w:val="none" w:sz="0" w:space="0" w:color="auto"/>
        <w:bottom w:val="none" w:sz="0" w:space="0" w:color="auto"/>
        <w:right w:val="none" w:sz="0" w:space="0" w:color="auto"/>
      </w:divBdr>
    </w:div>
    <w:div w:id="2066492699">
      <w:bodyDiv w:val="1"/>
      <w:marLeft w:val="0"/>
      <w:marRight w:val="0"/>
      <w:marTop w:val="0"/>
      <w:marBottom w:val="0"/>
      <w:divBdr>
        <w:top w:val="none" w:sz="0" w:space="0" w:color="auto"/>
        <w:left w:val="none" w:sz="0" w:space="0" w:color="auto"/>
        <w:bottom w:val="none" w:sz="0" w:space="0" w:color="auto"/>
        <w:right w:val="none" w:sz="0" w:space="0" w:color="auto"/>
      </w:divBdr>
    </w:div>
    <w:div w:id="20881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C9BF-456A-4A7B-944E-740BE941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3394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Fletcher</dc:creator>
  <cp:keywords/>
  <dc:description/>
  <cp:lastModifiedBy>Callum Wadlan</cp:lastModifiedBy>
  <cp:revision>3</cp:revision>
  <cp:lastPrinted>2022-02-24T09:45:00Z</cp:lastPrinted>
  <dcterms:created xsi:type="dcterms:W3CDTF">2023-09-21T10:21:00Z</dcterms:created>
  <dcterms:modified xsi:type="dcterms:W3CDTF">2023-09-21T10:33:00Z</dcterms:modified>
</cp:coreProperties>
</file>